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16D32">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092E977F">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4F4C66DE">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6B14A5F0">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2AC5C0C4">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5C0F65B6">
      <w:pPr>
        <w:pStyle w:val="64"/>
        <w:ind w:firstLine="480"/>
        <w:rPr>
          <w:color w:val="000000" w:themeColor="text1"/>
          <w:lang w:eastAsia="zh-CN"/>
          <w14:textFill>
            <w14:solidFill>
              <w14:schemeClr w14:val="tx1"/>
            </w14:solidFill>
          </w14:textFill>
        </w:rPr>
      </w:pPr>
    </w:p>
    <w:p w14:paraId="77B75957">
      <w:pPr>
        <w:pStyle w:val="26"/>
        <w:snapToGrid w:val="0"/>
        <w:spacing w:line="360" w:lineRule="auto"/>
        <w:ind w:left="1077" w:leftChars="513" w:firstLine="0" w:firstLineChars="0"/>
        <w:rPr>
          <w:rFonts w:hint="eastAsia" w:ascii="仿宋_GB2312" w:hAnsi="宋体" w:eastAsia="仿宋_GB2312"/>
          <w:b/>
          <w:bCs/>
          <w:color w:val="auto"/>
          <w:sz w:val="32"/>
          <w:szCs w:val="32"/>
          <w:lang w:eastAsia="zh-CN"/>
        </w:rPr>
      </w:pPr>
      <w:r>
        <w:rPr>
          <w:rFonts w:hint="eastAsia" w:ascii="仿宋_GB2312" w:hAnsi="宋体" w:eastAsia="仿宋_GB2312"/>
          <w:b/>
          <w:bCs/>
          <w:color w:val="000000" w:themeColor="text1"/>
          <w:sz w:val="32"/>
          <w:szCs w:val="32"/>
          <w14:textFill>
            <w14:solidFill>
              <w14:schemeClr w14:val="tx1"/>
            </w14:solidFill>
          </w14:textFill>
        </w:rPr>
        <w:t>项目名称：</w:t>
      </w:r>
      <w:r>
        <w:rPr>
          <w:rFonts w:hint="eastAsia" w:ascii="仿宋_GB2312" w:hAnsi="宋体" w:eastAsia="仿宋_GB2312"/>
          <w:b/>
          <w:bCs/>
          <w:color w:val="000000" w:themeColor="text1"/>
          <w:sz w:val="32"/>
          <w:szCs w:val="32"/>
          <w:lang w:eastAsia="zh-CN"/>
          <w14:textFill>
            <w14:solidFill>
              <w14:schemeClr w14:val="tx1"/>
            </w14:solidFill>
          </w14:textFill>
        </w:rPr>
        <w:t>2025年江州区全凤村全庆屯、卜堪屯、平坚屯道路提</w:t>
      </w:r>
      <w:r>
        <w:rPr>
          <w:rFonts w:hint="eastAsia" w:ascii="仿宋_GB2312" w:hAnsi="宋体" w:eastAsia="仿宋_GB2312"/>
          <w:b/>
          <w:bCs/>
          <w:color w:val="auto"/>
          <w:sz w:val="32"/>
          <w:szCs w:val="32"/>
          <w:lang w:eastAsia="zh-CN"/>
        </w:rPr>
        <w:t>升及安防工程</w:t>
      </w:r>
    </w:p>
    <w:p w14:paraId="0A5127FE">
      <w:pPr>
        <w:pStyle w:val="26"/>
        <w:snapToGrid w:val="0"/>
        <w:spacing w:line="360" w:lineRule="auto"/>
        <w:ind w:left="1077" w:leftChars="513" w:firstLine="0" w:firstLineChars="0"/>
        <w:rPr>
          <w:rFonts w:hint="eastAsia" w:ascii="仿宋_GB2312" w:hAnsi="宋体" w:eastAsia="仿宋_GB2312"/>
          <w:b/>
          <w:bCs/>
          <w:color w:val="auto"/>
          <w:sz w:val="32"/>
          <w:szCs w:val="32"/>
          <w:lang w:val="en-US" w:eastAsia="zh-CN"/>
        </w:rPr>
      </w:pPr>
      <w:r>
        <w:rPr>
          <w:rFonts w:hint="eastAsia" w:ascii="仿宋_GB2312" w:hAnsi="宋体" w:eastAsia="仿宋_GB2312"/>
          <w:b/>
          <w:bCs/>
          <w:color w:val="auto"/>
          <w:sz w:val="32"/>
          <w:szCs w:val="32"/>
        </w:rPr>
        <w:t>项目编号:</w:t>
      </w:r>
      <w:r>
        <w:rPr>
          <w:rFonts w:hint="eastAsia" w:ascii="仿宋_GB2312" w:hAnsi="宋体" w:eastAsia="仿宋_GB2312"/>
          <w:b/>
          <w:bCs/>
          <w:color w:val="auto"/>
          <w:sz w:val="32"/>
          <w:szCs w:val="32"/>
          <w:lang w:eastAsia="zh-CN"/>
        </w:rPr>
        <w:t>CZZC2025-C2-020120-KZJS</w:t>
      </w:r>
    </w:p>
    <w:p w14:paraId="3EFC4AC0">
      <w:pPr>
        <w:pStyle w:val="26"/>
        <w:snapToGrid w:val="0"/>
        <w:spacing w:line="360" w:lineRule="auto"/>
        <w:ind w:firstLine="1221" w:firstLineChars="400"/>
        <w:rPr>
          <w:rFonts w:hint="eastAsia" w:ascii="仿宋_GB2312" w:hAnsi="宋体" w:eastAsia="仿宋_GB2312"/>
          <w:b/>
          <w:bCs/>
          <w:color w:val="000000" w:themeColor="text1"/>
          <w:w w:val="95"/>
          <w:sz w:val="32"/>
          <w:szCs w:val="32"/>
          <w:lang w:eastAsia="zh-CN"/>
          <w14:textFill>
            <w14:solidFill>
              <w14:schemeClr w14:val="tx1"/>
            </w14:solidFill>
          </w14:textFill>
        </w:rPr>
      </w:pPr>
      <w:r>
        <w:rPr>
          <w:rFonts w:hint="eastAsia" w:ascii="仿宋_GB2312" w:hAnsi="宋体" w:eastAsia="仿宋_GB2312"/>
          <w:b/>
          <w:bCs/>
          <w:color w:val="000000" w:themeColor="text1"/>
          <w:w w:val="95"/>
          <w:sz w:val="32"/>
          <w:szCs w:val="32"/>
          <w14:textFill>
            <w14:solidFill>
              <w14:schemeClr w14:val="tx1"/>
            </w14:solidFill>
          </w14:textFill>
        </w:rPr>
        <w:t>采购人：</w:t>
      </w:r>
      <w:r>
        <w:rPr>
          <w:rFonts w:hint="eastAsia" w:ascii="仿宋_GB2312" w:hAnsi="宋体" w:eastAsia="仿宋_GB2312"/>
          <w:b/>
          <w:bCs/>
          <w:color w:val="000000" w:themeColor="text1"/>
          <w:w w:val="95"/>
          <w:sz w:val="32"/>
          <w:szCs w:val="32"/>
          <w:lang w:eastAsia="zh-CN"/>
          <w14:textFill>
            <w14:solidFill>
              <w14:schemeClr w14:val="tx1"/>
            </w14:solidFill>
          </w14:textFill>
        </w:rPr>
        <w:t>崇左市江州区交通运输局</w:t>
      </w:r>
    </w:p>
    <w:p w14:paraId="580B953F">
      <w:pPr>
        <w:pStyle w:val="26"/>
        <w:snapToGrid w:val="0"/>
        <w:spacing w:line="360" w:lineRule="auto"/>
        <w:ind w:firstLine="1221" w:firstLineChars="400"/>
        <w:rPr>
          <w:rFonts w:hint="eastAsia" w:ascii="仿宋_GB2312" w:hAnsi="宋体" w:eastAsia="仿宋_GB2312"/>
          <w:b/>
          <w:bCs/>
          <w:color w:val="000000" w:themeColor="text1"/>
          <w:w w:val="95"/>
          <w:sz w:val="32"/>
          <w:szCs w:val="32"/>
          <w:lang w:eastAsia="zh-CN"/>
          <w14:textFill>
            <w14:solidFill>
              <w14:schemeClr w14:val="tx1"/>
            </w14:solidFill>
          </w14:textFill>
        </w:rPr>
      </w:pPr>
      <w:r>
        <w:rPr>
          <w:rFonts w:hint="eastAsia" w:ascii="仿宋_GB2312" w:hAnsi="宋体" w:eastAsia="仿宋_GB2312"/>
          <w:b/>
          <w:bCs/>
          <w:color w:val="000000" w:themeColor="text1"/>
          <w:w w:val="95"/>
          <w:sz w:val="32"/>
          <w:szCs w:val="32"/>
          <w14:textFill>
            <w14:solidFill>
              <w14:schemeClr w14:val="tx1"/>
            </w14:solidFill>
          </w14:textFill>
        </w:rPr>
        <w:t>采购代理机构：</w:t>
      </w:r>
      <w:r>
        <w:rPr>
          <w:rFonts w:hint="eastAsia" w:ascii="仿宋_GB2312" w:hAnsi="宋体" w:eastAsia="仿宋_GB2312"/>
          <w:b/>
          <w:bCs/>
          <w:color w:val="000000" w:themeColor="text1"/>
          <w:w w:val="95"/>
          <w:sz w:val="32"/>
          <w:szCs w:val="32"/>
          <w:lang w:eastAsia="zh-CN"/>
          <w14:textFill>
            <w14:solidFill>
              <w14:schemeClr w14:val="tx1"/>
            </w14:solidFill>
          </w14:textFill>
        </w:rPr>
        <w:t>广西坤珍建设项目管理咨询有限公司</w:t>
      </w:r>
    </w:p>
    <w:p w14:paraId="3C401E36">
      <w:pPr>
        <w:pStyle w:val="26"/>
        <w:snapToGrid w:val="0"/>
        <w:spacing w:line="360" w:lineRule="auto"/>
        <w:ind w:firstLine="1050" w:firstLineChars="393"/>
        <w:rPr>
          <w:rFonts w:ascii="仿宋_GB2312" w:hAnsi="宋体" w:eastAsia="仿宋_GB2312"/>
          <w:b/>
          <w:bCs/>
          <w:color w:val="000000" w:themeColor="text1"/>
          <w:w w:val="95"/>
          <w:sz w:val="28"/>
          <w:szCs w:val="28"/>
          <w14:textFill>
            <w14:solidFill>
              <w14:schemeClr w14:val="tx1"/>
            </w14:solidFill>
          </w14:textFill>
        </w:rPr>
      </w:pPr>
    </w:p>
    <w:p w14:paraId="4FF2A386">
      <w:pPr>
        <w:pStyle w:val="26"/>
        <w:snapToGrid w:val="0"/>
        <w:spacing w:line="360" w:lineRule="auto"/>
        <w:ind w:firstLine="1050" w:firstLineChars="393"/>
        <w:rPr>
          <w:rFonts w:ascii="仿宋_GB2312" w:hAnsi="宋体" w:eastAsia="仿宋_GB2312"/>
          <w:b/>
          <w:bCs/>
          <w:color w:val="0000FF"/>
          <w:w w:val="95"/>
          <w:sz w:val="28"/>
          <w:szCs w:val="28"/>
        </w:rPr>
      </w:pPr>
    </w:p>
    <w:p w14:paraId="3A2F5EE2">
      <w:pPr>
        <w:pStyle w:val="26"/>
        <w:snapToGrid w:val="0"/>
        <w:spacing w:line="360" w:lineRule="auto"/>
        <w:ind w:firstLine="2747" w:firstLineChars="900"/>
        <w:rPr>
          <w:rFonts w:ascii="仿宋_GB2312" w:eastAsia="仿宋_GB2312"/>
          <w:color w:val="000000" w:themeColor="text1"/>
          <w:sz w:val="22"/>
          <w:szCs w:val="21"/>
          <w14:textFill>
            <w14:solidFill>
              <w14:schemeClr w14:val="tx1"/>
            </w14:solidFill>
          </w14:textFill>
        </w:rPr>
      </w:pPr>
      <w:r>
        <w:rPr>
          <w:rFonts w:ascii="仿宋_GB2312" w:hAnsi="宋体" w:eastAsia="仿宋_GB2312"/>
          <w:b/>
          <w:bCs/>
          <w:color w:val="000000" w:themeColor="text1"/>
          <w:w w:val="95"/>
          <w:sz w:val="32"/>
          <w:szCs w:val="32"/>
          <w14:textFill>
            <w14:solidFill>
              <w14:schemeClr w14:val="tx1"/>
            </w14:solidFill>
          </w14:textFill>
        </w:rPr>
        <w:t>202</w:t>
      </w:r>
      <w:r>
        <w:rPr>
          <w:rFonts w:hint="eastAsia" w:ascii="仿宋_GB2312" w:hAnsi="宋体" w:eastAsia="仿宋_GB2312"/>
          <w:b/>
          <w:bCs/>
          <w:color w:val="000000" w:themeColor="text1"/>
          <w:w w:val="95"/>
          <w:sz w:val="32"/>
          <w:szCs w:val="32"/>
          <w:lang w:val="en-US" w:eastAsia="zh-CN"/>
          <w14:textFill>
            <w14:solidFill>
              <w14:schemeClr w14:val="tx1"/>
            </w14:solidFill>
          </w14:textFill>
        </w:rPr>
        <w:t>5</w:t>
      </w:r>
      <w:r>
        <w:rPr>
          <w:rFonts w:hint="eastAsia" w:ascii="仿宋_GB2312" w:hAnsi="宋体" w:eastAsia="仿宋_GB2312"/>
          <w:b/>
          <w:bCs/>
          <w:color w:val="000000" w:themeColor="text1"/>
          <w:w w:val="95"/>
          <w:sz w:val="32"/>
          <w:szCs w:val="32"/>
          <w14:textFill>
            <w14:solidFill>
              <w14:schemeClr w14:val="tx1"/>
            </w14:solidFill>
          </w14:textFill>
        </w:rPr>
        <w:t>年</w:t>
      </w:r>
      <w:r>
        <w:rPr>
          <w:rFonts w:hint="eastAsia" w:ascii="仿宋_GB2312" w:hAnsi="宋体" w:eastAsia="仿宋_GB2312"/>
          <w:b/>
          <w:bCs/>
          <w:color w:val="000000" w:themeColor="text1"/>
          <w:w w:val="95"/>
          <w:sz w:val="32"/>
          <w:szCs w:val="32"/>
          <w:lang w:val="en-US" w:eastAsia="zh-CN"/>
          <w14:textFill>
            <w14:solidFill>
              <w14:schemeClr w14:val="tx1"/>
            </w14:solidFill>
          </w14:textFill>
        </w:rPr>
        <w:t xml:space="preserve"> 12</w:t>
      </w:r>
      <w:r>
        <w:rPr>
          <w:rFonts w:hint="eastAsia" w:ascii="仿宋_GB2312" w:hAnsi="宋体" w:eastAsia="仿宋_GB2312"/>
          <w:b/>
          <w:bCs/>
          <w:color w:val="000000" w:themeColor="text1"/>
          <w:w w:val="95"/>
          <w:sz w:val="32"/>
          <w:szCs w:val="32"/>
          <w14:textFill>
            <w14:solidFill>
              <w14:schemeClr w14:val="tx1"/>
            </w14:solidFill>
          </w14:textFill>
        </w:rPr>
        <w:t>月</w:t>
      </w:r>
      <w:r>
        <w:rPr>
          <w:rFonts w:hint="eastAsia" w:ascii="仿宋_GB2312" w:hAnsi="宋体" w:eastAsia="仿宋_GB2312"/>
          <w:b/>
          <w:bCs/>
          <w:color w:val="000000" w:themeColor="text1"/>
          <w:w w:val="95"/>
          <w:sz w:val="32"/>
          <w:szCs w:val="32"/>
          <w:lang w:val="en-US" w:eastAsia="zh-CN"/>
          <w14:textFill>
            <w14:solidFill>
              <w14:schemeClr w14:val="tx1"/>
            </w14:solidFill>
          </w14:textFill>
        </w:rPr>
        <w:t xml:space="preserve"> 26 </w:t>
      </w:r>
      <w:r>
        <w:rPr>
          <w:rFonts w:hint="eastAsia" w:ascii="仿宋_GB2312" w:hAnsi="宋体" w:eastAsia="仿宋_GB2312"/>
          <w:b/>
          <w:bCs/>
          <w:color w:val="000000" w:themeColor="text1"/>
          <w:w w:val="95"/>
          <w:sz w:val="32"/>
          <w:szCs w:val="32"/>
          <w14:textFill>
            <w14:solidFill>
              <w14:schemeClr w14:val="tx1"/>
            </w14:solidFill>
          </w14:textFill>
        </w:rPr>
        <w:t>日</w:t>
      </w:r>
    </w:p>
    <w:p w14:paraId="7B90DF21">
      <w:pPr>
        <w:spacing w:line="360" w:lineRule="auto"/>
        <w:jc w:val="center"/>
        <w:rPr>
          <w:rFonts w:ascii="宋体" w:hAnsi="宋体"/>
          <w:b/>
          <w:color w:val="auto"/>
          <w:sz w:val="40"/>
          <w:szCs w:val="40"/>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07F7FB19">
      <w:pPr>
        <w:pStyle w:val="21"/>
      </w:pPr>
    </w:p>
    <w:p w14:paraId="4852A9A5">
      <w:pPr>
        <w:spacing w:line="360" w:lineRule="auto"/>
        <w:jc w:val="center"/>
        <w:rPr>
          <w:rFonts w:ascii="宋体" w:hAnsi="宋体"/>
          <w:b/>
          <w:color w:val="000000" w:themeColor="text1"/>
          <w:sz w:val="44"/>
          <w:szCs w:val="44"/>
          <w14:textFill>
            <w14:solidFill>
              <w14:schemeClr w14:val="tx1"/>
            </w14:solidFill>
          </w14:textFill>
        </w:rPr>
      </w:pPr>
    </w:p>
    <w:p w14:paraId="3EAA5138">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285BCA8B">
      <w:pPr>
        <w:spacing w:line="400" w:lineRule="exact"/>
        <w:jc w:val="center"/>
        <w:rPr>
          <w:rFonts w:ascii="宋体"/>
          <w:b/>
          <w:color w:val="000000" w:themeColor="text1"/>
          <w:sz w:val="44"/>
          <w:szCs w:val="44"/>
          <w14:textFill>
            <w14:solidFill>
              <w14:schemeClr w14:val="tx1"/>
            </w14:solidFill>
          </w14:textFill>
        </w:rPr>
      </w:pPr>
    </w:p>
    <w:p w14:paraId="0D221341">
      <w:pPr>
        <w:pStyle w:val="33"/>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6"/>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048F35E9">
      <w:pPr>
        <w:pStyle w:val="33"/>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6"/>
          <w:rFonts w:hint="eastAsia" w:ascii="宋体" w:hAnsi="宋体"/>
          <w:b/>
          <w:color w:val="000000" w:themeColor="text1"/>
          <w:sz w:val="24"/>
          <w14:textFill>
            <w14:solidFill>
              <w14:schemeClr w14:val="tx1"/>
            </w14:solidFill>
          </w14:textFill>
        </w:rPr>
        <w:t>第二章供应</w:t>
      </w:r>
      <w:bookmarkStart w:id="0" w:name="_Hlt82161237"/>
      <w:r>
        <w:rPr>
          <w:rStyle w:val="56"/>
          <w:rFonts w:hint="eastAsia" w:ascii="宋体" w:hAnsi="宋体"/>
          <w:b/>
          <w:color w:val="000000" w:themeColor="text1"/>
          <w:sz w:val="24"/>
          <w14:textFill>
            <w14:solidFill>
              <w14:schemeClr w14:val="tx1"/>
            </w14:solidFill>
          </w14:textFill>
        </w:rPr>
        <w:t>商</w:t>
      </w:r>
      <w:bookmarkEnd w:id="0"/>
      <w:r>
        <w:rPr>
          <w:rStyle w:val="56"/>
          <w:rFonts w:hint="eastAsia" w:ascii="宋体" w:hAnsi="宋体"/>
          <w:b/>
          <w:color w:val="000000" w:themeColor="text1"/>
          <w:sz w:val="24"/>
          <w14:textFill>
            <w14:solidFill>
              <w14:schemeClr w14:val="tx1"/>
            </w14:solidFill>
          </w14:textFill>
        </w:rPr>
        <w:t>须</w:t>
      </w:r>
      <w:bookmarkStart w:id="1" w:name="_Hlt123912042"/>
      <w:r>
        <w:rPr>
          <w:rStyle w:val="56"/>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p>
    <w:p w14:paraId="37E2473B">
      <w:pPr>
        <w:pStyle w:val="33"/>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6"/>
          <w:rFonts w:hint="eastAsia" w:ascii="宋体" w:hAnsi="宋体"/>
          <w:b/>
          <w:color w:val="000000" w:themeColor="text1"/>
          <w:sz w:val="24"/>
          <w14:textFill>
            <w14:solidFill>
              <w14:schemeClr w14:val="tx1"/>
            </w14:solidFill>
          </w14:textFill>
        </w:rPr>
        <w:t>第三章采</w:t>
      </w:r>
      <w:bookmarkStart w:id="2" w:name="_Hlt123903950"/>
      <w:bookmarkStart w:id="3" w:name="_Hlt123905034"/>
      <w:bookmarkStart w:id="4" w:name="_Hlt123913427"/>
      <w:r>
        <w:rPr>
          <w:rStyle w:val="56"/>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6"/>
          <w:rFonts w:hint="eastAsia" w:ascii="宋体" w:hAnsi="宋体"/>
          <w:b/>
          <w:color w:val="000000" w:themeColor="text1"/>
          <w:sz w:val="24"/>
          <w14:textFill>
            <w14:solidFill>
              <w14:schemeClr w14:val="tx1"/>
            </w14:solidFill>
          </w14:textFill>
        </w:rPr>
        <w:t>需</w:t>
      </w:r>
      <w:bookmarkEnd w:id="5"/>
      <w:bookmarkStart w:id="6" w:name="_Hlt82166940"/>
      <w:r>
        <w:rPr>
          <w:rStyle w:val="56"/>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2</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5</w:t>
      </w:r>
    </w:p>
    <w:p w14:paraId="7B3B184F">
      <w:pPr>
        <w:pStyle w:val="33"/>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6"/>
          <w:rFonts w:hint="eastAsia" w:ascii="宋体" w:hAnsi="宋体"/>
          <w:b/>
          <w:color w:val="000000" w:themeColor="text1"/>
          <w:sz w:val="24"/>
          <w14:textFill>
            <w14:solidFill>
              <w14:schemeClr w14:val="tx1"/>
            </w14:solidFill>
          </w14:textFill>
        </w:rPr>
        <w:t>第四章评审</w:t>
      </w:r>
      <w:bookmarkStart w:id="7" w:name="_Hlt124354839"/>
      <w:r>
        <w:rPr>
          <w:rStyle w:val="56"/>
          <w:rFonts w:hint="eastAsia" w:ascii="宋体" w:hAnsi="宋体"/>
          <w:b/>
          <w:color w:val="000000" w:themeColor="text1"/>
          <w:sz w:val="24"/>
          <w14:textFill>
            <w14:solidFill>
              <w14:schemeClr w14:val="tx1"/>
            </w14:solidFill>
          </w14:textFill>
        </w:rPr>
        <w:t>程</w:t>
      </w:r>
      <w:bookmarkEnd w:id="7"/>
      <w:r>
        <w:rPr>
          <w:rStyle w:val="56"/>
          <w:rFonts w:hint="eastAsia" w:ascii="宋体" w:hAnsi="宋体"/>
          <w:b/>
          <w:color w:val="000000" w:themeColor="text1"/>
          <w:sz w:val="24"/>
          <w14:textFill>
            <w14:solidFill>
              <w14:schemeClr w14:val="tx1"/>
            </w14:solidFill>
          </w14:textFill>
        </w:rPr>
        <w:t>序、</w:t>
      </w:r>
      <w:bookmarkStart w:id="8" w:name="_Hlt82166000"/>
      <w:r>
        <w:rPr>
          <w:rStyle w:val="56"/>
          <w:rFonts w:hint="eastAsia" w:ascii="宋体" w:hAnsi="宋体"/>
          <w:b/>
          <w:color w:val="000000" w:themeColor="text1"/>
          <w:sz w:val="24"/>
          <w14:textFill>
            <w14:solidFill>
              <w14:schemeClr w14:val="tx1"/>
            </w14:solidFill>
          </w14:textFill>
        </w:rPr>
        <w:t>评</w:t>
      </w:r>
      <w:bookmarkEnd w:id="8"/>
      <w:r>
        <w:rPr>
          <w:rStyle w:val="56"/>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2</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6</w:t>
      </w:r>
    </w:p>
    <w:p w14:paraId="2DD794CB">
      <w:pPr>
        <w:pStyle w:val="33"/>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6"/>
          <w:rFonts w:hint="eastAsia" w:ascii="宋体" w:hAnsi="宋体"/>
          <w:b/>
          <w:color w:val="000000" w:themeColor="text1"/>
          <w:sz w:val="24"/>
          <w14:textFill>
            <w14:solidFill>
              <w14:schemeClr w14:val="tx1"/>
            </w14:solidFill>
          </w14:textFill>
        </w:rPr>
        <w:t>第五章</w:t>
      </w:r>
      <w:r>
        <w:rPr>
          <w:rStyle w:val="56"/>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6</w:t>
      </w:r>
    </w:p>
    <w:p w14:paraId="17920135">
      <w:pPr>
        <w:pStyle w:val="33"/>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6"/>
          <w:rFonts w:hint="eastAsia" w:ascii="宋体" w:hAnsi="宋体"/>
          <w:b/>
          <w:color w:val="000000" w:themeColor="text1"/>
          <w:sz w:val="24"/>
          <w14:textFill>
            <w14:solidFill>
              <w14:schemeClr w14:val="tx1"/>
            </w14:solidFill>
          </w14:textFill>
        </w:rPr>
        <w:t>第六章</w:t>
      </w:r>
      <w:r>
        <w:rPr>
          <w:rStyle w:val="56"/>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37307C5A">
      <w:pPr>
        <w:pStyle w:val="38"/>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6"/>
          <w:rFonts w:hint="eastAsia" w:ascii="宋体" w:hAnsi="宋体"/>
          <w:b/>
          <w:color w:val="000000" w:themeColor="text1"/>
          <w:sz w:val="24"/>
          <w:u w:val="none"/>
          <w14:textFill>
            <w14:solidFill>
              <w14:schemeClr w14:val="tx1"/>
            </w14:solidFill>
          </w14:textFill>
        </w:rPr>
        <w:t>第</w:t>
      </w:r>
      <w:r>
        <w:rPr>
          <w:rStyle w:val="56"/>
          <w:rFonts w:hint="eastAsia" w:ascii="宋体" w:hAnsi="宋体"/>
          <w:b/>
          <w:color w:val="000000" w:themeColor="text1"/>
          <w:sz w:val="24"/>
          <w:u w:val="none"/>
          <w:lang w:eastAsia="zh-CN"/>
          <w14:textFill>
            <w14:solidFill>
              <w14:schemeClr w14:val="tx1"/>
            </w14:solidFill>
          </w14:textFill>
        </w:rPr>
        <w:t>七</w:t>
      </w:r>
      <w:r>
        <w:rPr>
          <w:rStyle w:val="56"/>
          <w:rFonts w:hint="eastAsia" w:ascii="宋体" w:hAnsi="宋体"/>
          <w:b/>
          <w:color w:val="000000" w:themeColor="text1"/>
          <w:sz w:val="24"/>
          <w:u w:val="none"/>
          <w14:textFill>
            <w14:solidFill>
              <w14:schemeClr w14:val="tx1"/>
            </w14:solidFill>
          </w14:textFill>
        </w:rPr>
        <w:t>章合同文本</w:t>
      </w:r>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76</w:t>
      </w:r>
      <w:r>
        <w:rPr>
          <w:rFonts w:ascii="宋体" w:hAnsi="宋体"/>
          <w:b/>
          <w:color w:val="000000" w:themeColor="text1"/>
          <w:sz w:val="24"/>
          <w:u w:val="none"/>
          <w14:textFill>
            <w14:solidFill>
              <w14:schemeClr w14:val="tx1"/>
            </w14:solidFill>
          </w14:textFill>
        </w:rPr>
        <w:fldChar w:fldCharType="end"/>
      </w:r>
    </w:p>
    <w:p w14:paraId="33E64F55">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33044272">
      <w:pPr>
        <w:pStyle w:val="2"/>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12D6C511">
      <w:pPr>
        <w:spacing w:line="400" w:lineRule="exact"/>
        <w:jc w:val="center"/>
        <w:rPr>
          <w:rFonts w:hint="eastAsia" w:ascii="宋体" w:eastAsia="宋体"/>
          <w:b/>
          <w:bCs/>
          <w:color w:val="000000" w:themeColor="text1"/>
          <w:sz w:val="28"/>
          <w:szCs w:val="28"/>
          <w:lang w:val="en-US" w:eastAsia="zh-CN"/>
          <w14:textFill>
            <w14:solidFill>
              <w14:schemeClr w14:val="tx1"/>
            </w14:solidFill>
          </w14:textFill>
        </w:rPr>
      </w:pPr>
      <w:r>
        <w:rPr>
          <w:rFonts w:hint="eastAsia" w:ascii="宋体" w:hAnsi="宋体"/>
          <w:b/>
          <w:bCs/>
          <w:color w:val="000000" w:themeColor="text1"/>
          <w:sz w:val="28"/>
          <w:szCs w:val="28"/>
          <w:lang w:eastAsia="zh-CN"/>
          <w14:textFill>
            <w14:solidFill>
              <w14:schemeClr w14:val="tx1"/>
            </w14:solidFill>
          </w14:textFill>
        </w:rPr>
        <w:t>广西坤珍建设项目管理咨询有限公司关于2025年江州区全凤村全庆屯、卜堪屯、平坚屯道路提升及安防工程的</w:t>
      </w:r>
      <w:r>
        <w:rPr>
          <w:rFonts w:hint="eastAsia" w:ascii="宋体" w:hAnsi="宋体"/>
          <w:b/>
          <w:bCs/>
          <w:color w:val="000000" w:themeColor="text1"/>
          <w:sz w:val="28"/>
          <w:szCs w:val="28"/>
          <w14:textFill>
            <w14:solidFill>
              <w14:schemeClr w14:val="tx1"/>
            </w14:solidFill>
          </w14:textFill>
        </w:rPr>
        <w:t>竞争性磋商公告</w:t>
      </w:r>
      <w:r>
        <w:rPr>
          <w:rFonts w:hint="eastAsia" w:ascii="宋体" w:hAnsi="宋体"/>
          <w:b/>
          <w:bCs/>
          <w:color w:val="000000" w:themeColor="text1"/>
          <w:sz w:val="28"/>
          <w:szCs w:val="28"/>
          <w:lang w:val="en-US" w:eastAsia="zh-CN"/>
          <w14:textFill>
            <w14:solidFill>
              <w14:schemeClr w14:val="tx1"/>
            </w14:solidFill>
          </w14:textFill>
        </w:rPr>
        <w:t>(远程异地评标）</w:t>
      </w:r>
    </w:p>
    <w:p w14:paraId="53DC180F">
      <w:pPr>
        <w:spacing w:line="360" w:lineRule="auto"/>
        <w:rPr>
          <w:rFonts w:ascii="宋体"/>
          <w:color w:val="000000" w:themeColor="text1"/>
          <w:szCs w:val="21"/>
          <w14:textFill>
            <w14:solidFill>
              <w14:schemeClr w14:val="tx1"/>
            </w14:solidFill>
          </w14:textFill>
        </w:rPr>
      </w:pPr>
    </w:p>
    <w:p w14:paraId="37255BA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bookmarkStart w:id="10" w:name="_Hlk37430271"/>
      <w:r>
        <w:rPr>
          <w:rFonts w:hint="eastAsia" w:ascii="宋体" w:hAnsi="宋体"/>
          <w:color w:val="000000" w:themeColor="text1"/>
          <w:szCs w:val="21"/>
          <w14:textFill>
            <w14:solidFill>
              <w14:schemeClr w14:val="tx1"/>
            </w14:solidFill>
          </w14:textFill>
        </w:rPr>
        <w:t>项目概况</w:t>
      </w:r>
    </w:p>
    <w:p w14:paraId="266F3BC2">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2025年江州区全凤村全庆屯、卜堪屯、平坚屯道路提升及安防工程</w:t>
      </w:r>
      <w:r>
        <w:rPr>
          <w:rFonts w:hint="eastAsia" w:ascii="宋体" w:hAnsi="宋体"/>
          <w:color w:val="000000" w:themeColor="text1"/>
          <w:szCs w:val="21"/>
          <w14:textFill>
            <w14:solidFill>
              <w14:schemeClr w14:val="tx1"/>
            </w14:solidFill>
          </w14:textFill>
        </w:rPr>
        <w:t>采购项目的潜在供应商应在广西政府采购云平台获取（下载）竞争性磋商文件</w:t>
      </w:r>
      <w:r>
        <w:rPr>
          <w:rFonts w:hint="eastAsia" w:ascii="宋体" w:hAnsi="宋体"/>
          <w:color w:val="auto"/>
          <w:szCs w:val="21"/>
        </w:rPr>
        <w:t>，并</w:t>
      </w:r>
      <w:r>
        <w:rPr>
          <w:rFonts w:hint="eastAsia" w:ascii="宋体" w:hAnsi="宋体"/>
          <w:color w:val="000000" w:themeColor="text1"/>
          <w:szCs w:val="21"/>
          <w14:textFill>
            <w14:solidFill>
              <w14:schemeClr w14:val="tx1"/>
            </w14:solidFill>
          </w14:textFill>
        </w:rPr>
        <w:t>于202</w:t>
      </w:r>
      <w:r>
        <w:rPr>
          <w:rFonts w:hint="eastAsia" w:ascii="宋体" w:hAnsi="宋体"/>
          <w:color w:val="000000" w:themeColor="text1"/>
          <w:szCs w:val="21"/>
          <w:lang w:val="en-US" w:eastAsia="zh-CN"/>
          <w14:textFill>
            <w14:solidFill>
              <w14:schemeClr w14:val="tx1"/>
            </w14:solidFill>
          </w14:textFill>
        </w:rPr>
        <w:t>6</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1</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08</w:t>
      </w:r>
      <w:r>
        <w:rPr>
          <w:rFonts w:hint="eastAsia" w:ascii="宋体" w:hAnsi="宋体"/>
          <w:color w:val="000000" w:themeColor="text1"/>
          <w:szCs w:val="21"/>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0</w:t>
      </w:r>
      <w:r>
        <w:rPr>
          <w:rFonts w:hint="eastAsia" w:ascii="宋体" w:hAnsi="宋体"/>
          <w:bCs/>
          <w:color w:val="000000" w:themeColor="text1"/>
          <w:szCs w:val="21"/>
          <w14:textFill>
            <w14:solidFill>
              <w14:schemeClr w14:val="tx1"/>
            </w14:solidFill>
          </w14:textFill>
        </w:rPr>
        <w:t>（北京时间）前提交（上传）</w:t>
      </w:r>
      <w:r>
        <w:rPr>
          <w:rFonts w:hint="eastAsia" w:ascii="宋体" w:hAnsi="宋体"/>
          <w:color w:val="000000" w:themeColor="text1"/>
          <w:szCs w:val="21"/>
          <w14:textFill>
            <w14:solidFill>
              <w14:schemeClr w14:val="tx1"/>
            </w14:solidFill>
          </w14:textFill>
        </w:rPr>
        <w:t>响应</w:t>
      </w:r>
      <w:r>
        <w:rPr>
          <w:rFonts w:hint="eastAsia" w:ascii="宋体" w:hAnsi="宋体"/>
          <w:bCs/>
          <w:color w:val="000000" w:themeColor="text1"/>
          <w:szCs w:val="21"/>
          <w14:textFill>
            <w14:solidFill>
              <w14:schemeClr w14:val="tx1"/>
            </w14:solidFill>
          </w14:textFill>
        </w:rPr>
        <w:t>文件</w:t>
      </w:r>
      <w:r>
        <w:rPr>
          <w:rFonts w:hint="eastAsia" w:ascii="宋体" w:hAnsi="宋体"/>
          <w:color w:val="000000" w:themeColor="text1"/>
          <w:szCs w:val="21"/>
          <w14:textFill>
            <w14:solidFill>
              <w14:schemeClr w14:val="tx1"/>
            </w14:solidFill>
          </w14:textFill>
        </w:rPr>
        <w:t>。</w:t>
      </w:r>
    </w:p>
    <w:p w14:paraId="20D7ADCA">
      <w:pPr>
        <w:spacing w:line="360" w:lineRule="auto"/>
        <w:rPr>
          <w:rFonts w:ascii="宋体"/>
          <w:color w:val="000000" w:themeColor="text1"/>
          <w:szCs w:val="21"/>
          <w14:textFill>
            <w14:solidFill>
              <w14:schemeClr w14:val="tx1"/>
            </w14:solidFill>
          </w14:textFill>
        </w:rPr>
      </w:pPr>
    </w:p>
    <w:p w14:paraId="51D5273E">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11" w:name="_Toc71365905"/>
      <w:bookmarkStart w:id="12" w:name="_Toc28359089"/>
      <w:bookmarkStart w:id="13" w:name="_Toc35393629"/>
      <w:bookmarkStart w:id="14" w:name="_Toc35393798"/>
      <w:bookmarkStart w:id="15" w:name="_Toc28359012"/>
      <w:bookmarkStart w:id="16" w:name="_Toc44229878"/>
      <w:r>
        <w:rPr>
          <w:rFonts w:hint="eastAsia" w:ascii="黑体" w:hAnsi="黑体" w:eastAsia="黑体"/>
          <w:b/>
          <w:color w:val="000000" w:themeColor="text1"/>
          <w:sz w:val="24"/>
          <w14:textFill>
            <w14:solidFill>
              <w14:schemeClr w14:val="tx1"/>
            </w14:solidFill>
          </w14:textFill>
        </w:rPr>
        <w:t>一、项目基本情况</w:t>
      </w:r>
      <w:bookmarkEnd w:id="11"/>
      <w:bookmarkEnd w:id="12"/>
      <w:bookmarkEnd w:id="13"/>
      <w:bookmarkEnd w:id="14"/>
      <w:bookmarkEnd w:id="15"/>
      <w:bookmarkEnd w:id="16"/>
    </w:p>
    <w:p w14:paraId="5C5BBCB3">
      <w:pPr>
        <w:spacing w:line="360" w:lineRule="auto"/>
        <w:ind w:firstLine="420" w:firstLineChars="200"/>
        <w:rPr>
          <w:rFonts w:hint="eastAsia" w:asci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项目编号：</w:t>
      </w:r>
      <w:r>
        <w:rPr>
          <w:rFonts w:hint="eastAsia" w:ascii="宋体" w:hAnsi="宋体"/>
          <w:color w:val="000000" w:themeColor="text1"/>
          <w:szCs w:val="21"/>
          <w:lang w:eastAsia="zh-CN"/>
          <w14:textFill>
            <w14:solidFill>
              <w14:schemeClr w14:val="tx1"/>
            </w14:solidFill>
          </w14:textFill>
        </w:rPr>
        <w:t>CZZC2025-C2-020120-KZJS</w:t>
      </w:r>
    </w:p>
    <w:p w14:paraId="42FD526B">
      <w:pPr>
        <w:spacing w:line="360" w:lineRule="auto"/>
        <w:ind w:left="420" w:leftChars="200" w:firstLine="0" w:firstLineChars="0"/>
        <w:rPr>
          <w:rFonts w:hint="eastAsia"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lang w:eastAsia="zh-CN"/>
          <w14:textFill>
            <w14:solidFill>
              <w14:schemeClr w14:val="tx1"/>
            </w14:solidFill>
          </w14:textFill>
        </w:rPr>
        <w:t xml:space="preserve"> 2025年江州区全凤村全庆屯、卜堪屯、平坚屯道路提升及安防工程</w:t>
      </w:r>
    </w:p>
    <w:p w14:paraId="081F4E37">
      <w:pPr>
        <w:spacing w:line="360" w:lineRule="auto"/>
        <w:ind w:left="420" w:leftChars="200" w:firstLine="0" w:firstLineChars="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采购方式：竞争性磋商</w:t>
      </w:r>
    </w:p>
    <w:p w14:paraId="0845C5DB">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预算金</w:t>
      </w:r>
      <w:r>
        <w:rPr>
          <w:rFonts w:hint="eastAsia" w:ascii="宋体" w:hAnsi="宋体"/>
          <w:color w:val="000000" w:themeColor="text1"/>
          <w:szCs w:val="21"/>
          <w14:textFill>
            <w14:solidFill>
              <w14:schemeClr w14:val="tx1"/>
            </w14:solidFill>
          </w14:textFill>
        </w:rPr>
        <w:t>额：</w:t>
      </w:r>
      <w:r>
        <w:rPr>
          <w:rFonts w:hint="eastAsia" w:ascii="宋体" w:hAnsi="宋体"/>
          <w:color w:val="000000" w:themeColor="text1"/>
          <w:szCs w:val="21"/>
          <w:lang w:val="en-US" w:eastAsia="zh-CN"/>
          <w14:textFill>
            <w14:solidFill>
              <w14:schemeClr w14:val="tx1"/>
            </w14:solidFill>
          </w14:textFill>
        </w:rPr>
        <w:t>650000.00</w:t>
      </w:r>
      <w:r>
        <w:rPr>
          <w:rFonts w:hint="eastAsia" w:ascii="宋体" w:hAnsi="宋体"/>
          <w:color w:val="000000" w:themeColor="text1"/>
          <w:szCs w:val="21"/>
          <w14:textFill>
            <w14:solidFill>
              <w14:schemeClr w14:val="tx1"/>
            </w14:solidFill>
          </w14:textFill>
        </w:rPr>
        <w:t>元。</w:t>
      </w:r>
    </w:p>
    <w:p w14:paraId="6502E03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采购需求：</w:t>
      </w:r>
      <w:r>
        <w:rPr>
          <w:rFonts w:ascii="宋体"/>
          <w:color w:val="000000" w:themeColor="text1"/>
          <w:szCs w:val="21"/>
          <w14:textFill>
            <w14:solidFill>
              <w14:schemeClr w14:val="tx1"/>
            </w14:solidFill>
          </w14:textFill>
        </w:rPr>
        <w:t xml:space="preserve"> </w:t>
      </w:r>
    </w:p>
    <w:p w14:paraId="6B5C333A">
      <w:pPr>
        <w:spacing w:line="360" w:lineRule="auto"/>
        <w:ind w:firstLine="420" w:firstLineChars="200"/>
        <w:rPr>
          <w:rFonts w:hint="eastAsia"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标项名称:</w:t>
      </w:r>
      <w:r>
        <w:rPr>
          <w:rFonts w:hint="eastAsia" w:ascii="宋体" w:hAnsi="宋体"/>
          <w:color w:val="000000" w:themeColor="text1"/>
          <w:szCs w:val="21"/>
          <w:lang w:eastAsia="zh-CN"/>
          <w14:textFill>
            <w14:solidFill>
              <w14:schemeClr w14:val="tx1"/>
            </w14:solidFill>
          </w14:textFill>
        </w:rPr>
        <w:t xml:space="preserve"> 2025年江州区全凤村全庆屯、卜堪屯、平坚屯道路提升及安防工程</w:t>
      </w:r>
    </w:p>
    <w:p w14:paraId="67C71698">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数量:不限</w:t>
      </w:r>
    </w:p>
    <w:p w14:paraId="1D0EFBA8">
      <w:pPr>
        <w:spacing w:line="360" w:lineRule="auto"/>
        <w:ind w:firstLine="420" w:firstLineChars="200"/>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预算金额（元</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650000.00</w:t>
      </w:r>
      <w:r>
        <w:rPr>
          <w:rFonts w:hint="eastAsia" w:ascii="宋体" w:hAnsi="宋体"/>
          <w:color w:val="000000" w:themeColor="text1"/>
          <w:szCs w:val="21"/>
          <w14:textFill>
            <w14:solidFill>
              <w14:schemeClr w14:val="tx1"/>
            </w14:solidFill>
          </w14:textFill>
        </w:rPr>
        <w:t>元</w:t>
      </w:r>
    </w:p>
    <w:p w14:paraId="5131DB53">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简要规格描述或项目基本概况介绍、用途：</w:t>
      </w:r>
      <w:r>
        <w:rPr>
          <w:rFonts w:hint="eastAsia" w:ascii="宋体" w:hAnsi="宋体"/>
          <w:color w:val="000000" w:themeColor="text1"/>
          <w:szCs w:val="21"/>
          <w:lang w:eastAsia="zh-CN"/>
          <w14:textFill>
            <w14:solidFill>
              <w14:schemeClr w14:val="tx1"/>
            </w14:solidFill>
          </w14:textFill>
        </w:rPr>
        <w:t xml:space="preserve"> 2025年江州区全凤村全庆屯、卜堪屯、平坚屯道路提升及安防工程</w:t>
      </w:r>
      <w:r>
        <w:rPr>
          <w:rFonts w:hint="eastAsia" w:ascii="宋体" w:hAnsi="宋体"/>
          <w:color w:val="000000" w:themeColor="text1"/>
          <w:szCs w:val="21"/>
          <w14:textFill>
            <w14:solidFill>
              <w14:schemeClr w14:val="tx1"/>
            </w14:solidFill>
          </w14:textFill>
        </w:rPr>
        <w:t>1项</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具体内容详见工程量清单。</w:t>
      </w:r>
    </w:p>
    <w:p w14:paraId="7AFC1956">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最高限价（如有）：/</w:t>
      </w:r>
    </w:p>
    <w:p w14:paraId="20857FCB">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合同履约期</w:t>
      </w:r>
      <w:r>
        <w:rPr>
          <w:rFonts w:hint="eastAsia" w:ascii="宋体" w:hAnsi="宋体"/>
          <w:color w:val="000000" w:themeColor="text1"/>
          <w:szCs w:val="21"/>
          <w:highlight w:val="none"/>
          <w14:textFill>
            <w14:solidFill>
              <w14:schemeClr w14:val="tx1"/>
            </w14:solidFill>
          </w14:textFill>
        </w:rPr>
        <w:t>限：</w:t>
      </w:r>
      <w:r>
        <w:rPr>
          <w:rFonts w:hint="eastAsia" w:ascii="宋体" w:hAnsi="宋体"/>
          <w:color w:val="000000" w:themeColor="text1"/>
          <w:szCs w:val="21"/>
          <w:highlight w:val="none"/>
          <w:lang w:eastAsia="zh-CN"/>
          <w14:textFill>
            <w14:solidFill>
              <w14:schemeClr w14:val="tx1"/>
            </w14:solidFill>
          </w14:textFill>
        </w:rPr>
        <w:t>工期</w:t>
      </w:r>
      <w:r>
        <w:rPr>
          <w:rFonts w:hint="eastAsia" w:ascii="宋体" w:hAnsi="宋体"/>
          <w:color w:val="000000" w:themeColor="text1"/>
          <w:szCs w:val="21"/>
          <w:highlight w:val="none"/>
          <w:lang w:val="en-US" w:eastAsia="zh-CN"/>
          <w14:textFill>
            <w14:solidFill>
              <w14:schemeClr w14:val="tx1"/>
            </w14:solidFill>
          </w14:textFill>
        </w:rPr>
        <w:t>45</w:t>
      </w:r>
      <w:r>
        <w:rPr>
          <w:rFonts w:hint="eastAsia" w:ascii="宋体" w:hAnsi="宋体"/>
          <w:color w:val="000000" w:themeColor="text1"/>
          <w:szCs w:val="21"/>
          <w:highlight w:val="none"/>
          <w14:textFill>
            <w14:solidFill>
              <w14:schemeClr w14:val="tx1"/>
            </w14:solidFill>
          </w14:textFill>
        </w:rPr>
        <w:t>日历天</w:t>
      </w:r>
    </w:p>
    <w:p w14:paraId="5710C6D7">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5E4336ED">
      <w:pPr>
        <w:spacing w:line="360" w:lineRule="auto"/>
        <w:ind w:firstLine="420" w:firstLineChars="200"/>
        <w:rPr>
          <w:rFonts w:hint="eastAsia" w:ascii="宋体" w:eastAsia="宋体"/>
          <w:color w:val="auto"/>
          <w:szCs w:val="21"/>
          <w:lang w:val="en-US" w:eastAsia="zh-CN"/>
        </w:rPr>
      </w:pPr>
      <w:r>
        <w:rPr>
          <w:rFonts w:hint="eastAsia" w:ascii="宋体" w:hAnsi="宋体"/>
          <w:color w:val="auto"/>
          <w:szCs w:val="21"/>
        </w:rPr>
        <w:t>备注：</w:t>
      </w:r>
      <w:r>
        <w:rPr>
          <w:rFonts w:hint="eastAsia" w:ascii="宋体" w:hAnsi="宋体"/>
          <w:color w:val="auto"/>
          <w:szCs w:val="21"/>
          <w:lang w:val="en-US" w:eastAsia="zh-CN"/>
        </w:rPr>
        <w:t>/</w:t>
      </w:r>
    </w:p>
    <w:p w14:paraId="699C68E3">
      <w:pPr>
        <w:spacing w:line="360" w:lineRule="auto"/>
        <w:ind w:firstLine="354" w:firstLineChars="147"/>
        <w:rPr>
          <w:rFonts w:ascii="黑体" w:hAnsi="黑体" w:eastAsia="黑体"/>
          <w:b/>
          <w:color w:val="auto"/>
          <w:sz w:val="24"/>
        </w:rPr>
      </w:pPr>
      <w:bookmarkStart w:id="17" w:name="_Toc44229879"/>
      <w:bookmarkStart w:id="18" w:name="_Toc35393799"/>
      <w:bookmarkStart w:id="19" w:name="_Toc28359090"/>
      <w:bookmarkStart w:id="20" w:name="_Toc35393630"/>
      <w:bookmarkStart w:id="21" w:name="_Toc71365906"/>
      <w:bookmarkStart w:id="22" w:name="_Toc28359013"/>
      <w:r>
        <w:rPr>
          <w:rFonts w:hint="eastAsia" w:ascii="黑体" w:hAnsi="黑体" w:eastAsia="黑体"/>
          <w:b/>
          <w:color w:val="auto"/>
          <w:sz w:val="24"/>
        </w:rPr>
        <w:t>二、申请人的资格条件：</w:t>
      </w:r>
      <w:bookmarkEnd w:id="17"/>
      <w:bookmarkEnd w:id="18"/>
      <w:bookmarkEnd w:id="19"/>
      <w:bookmarkEnd w:id="20"/>
      <w:bookmarkEnd w:id="21"/>
      <w:bookmarkEnd w:id="22"/>
    </w:p>
    <w:p w14:paraId="424F213F">
      <w:pPr>
        <w:spacing w:line="360" w:lineRule="auto"/>
        <w:ind w:firstLine="420" w:firstLineChars="200"/>
        <w:rPr>
          <w:rFonts w:ascii="宋体"/>
          <w:color w:val="auto"/>
          <w:szCs w:val="21"/>
        </w:rPr>
      </w:pPr>
      <w:bookmarkStart w:id="23" w:name="_Toc28359091"/>
      <w:bookmarkStart w:id="24" w:name="_Toc28359014"/>
      <w:bookmarkStart w:id="25" w:name="_Toc35393800"/>
      <w:bookmarkStart w:id="26" w:name="_Toc35393631"/>
      <w:bookmarkStart w:id="27" w:name="_Toc44229880"/>
      <w:r>
        <w:rPr>
          <w:rFonts w:ascii="宋体" w:hAnsi="宋体"/>
          <w:color w:val="auto"/>
          <w:szCs w:val="21"/>
        </w:rPr>
        <w:t>1.</w:t>
      </w:r>
      <w:r>
        <w:rPr>
          <w:rFonts w:hint="eastAsia" w:ascii="宋体" w:hAnsi="宋体"/>
          <w:color w:val="auto"/>
          <w:szCs w:val="21"/>
        </w:rPr>
        <w:t>满足《中华人民共和国政府采购法》第二十二条规定；</w:t>
      </w:r>
    </w:p>
    <w:p w14:paraId="57E7E536">
      <w:pPr>
        <w:spacing w:line="360" w:lineRule="auto"/>
        <w:ind w:firstLine="420" w:firstLineChars="200"/>
        <w:rPr>
          <w:rStyle w:val="58"/>
          <w:color w:val="auto"/>
          <w:szCs w:val="21"/>
        </w:rPr>
      </w:pPr>
      <w:r>
        <w:rPr>
          <w:rFonts w:ascii="宋体" w:hAnsi="宋体"/>
          <w:color w:val="auto"/>
          <w:szCs w:val="21"/>
        </w:rPr>
        <w:t>2</w:t>
      </w:r>
      <w:r>
        <w:rPr>
          <w:rFonts w:ascii="宋体"/>
          <w:color w:val="auto"/>
          <w:szCs w:val="21"/>
        </w:rPr>
        <w:t>.</w:t>
      </w:r>
      <w:r>
        <w:rPr>
          <w:rFonts w:hint="eastAsia" w:ascii="宋体" w:hAnsi="宋体"/>
          <w:color w:val="auto"/>
          <w:szCs w:val="21"/>
        </w:rPr>
        <w:t>落实政府采购政策需满足的资格要求：本项目为</w:t>
      </w:r>
      <w:r>
        <w:rPr>
          <w:rStyle w:val="58"/>
          <w:rFonts w:hint="eastAsia"/>
          <w:color w:val="auto"/>
          <w:szCs w:val="21"/>
        </w:rPr>
        <w:t>专门面向中小企业采购的项目</w:t>
      </w:r>
      <w:r>
        <w:rPr>
          <w:rStyle w:val="58"/>
          <w:color w:val="auto"/>
          <w:szCs w:val="21"/>
        </w:rPr>
        <w:t>,</w:t>
      </w:r>
      <w:r>
        <w:rPr>
          <w:rStyle w:val="58"/>
          <w:rFonts w:hint="eastAsia"/>
          <w:color w:val="auto"/>
          <w:szCs w:val="21"/>
        </w:rPr>
        <w:t>供应商应为中小微企业或者监狱企业或者残疾人福利性单位。</w:t>
      </w:r>
    </w:p>
    <w:p w14:paraId="7F04EE0F">
      <w:pPr>
        <w:spacing w:line="360" w:lineRule="auto"/>
        <w:ind w:firstLine="420" w:firstLineChars="200"/>
        <w:rPr>
          <w:rFonts w:ascii="宋体"/>
          <w:color w:val="auto"/>
        </w:rPr>
      </w:pPr>
      <w:r>
        <w:rPr>
          <w:rFonts w:hint="eastAsia" w:ascii="宋体" w:hAnsi="宋体"/>
          <w:color w:val="auto"/>
          <w:szCs w:val="21"/>
        </w:rPr>
        <w:t>3.本项目的特定资格要求：</w:t>
      </w:r>
    </w:p>
    <w:p w14:paraId="4A645837">
      <w:pPr>
        <w:spacing w:line="360" w:lineRule="auto"/>
        <w:ind w:firstLine="420" w:firstLineChars="200"/>
        <w:rPr>
          <w:rFonts w:hint="eastAsia" w:ascii="宋体" w:hAnsi="宋体"/>
          <w:color w:val="auto"/>
          <w:szCs w:val="21"/>
        </w:rPr>
      </w:pPr>
      <w:r>
        <w:rPr>
          <w:rFonts w:hint="eastAsia" w:ascii="宋体" w:hAnsi="宋体"/>
          <w:color w:val="auto"/>
          <w:szCs w:val="21"/>
        </w:rPr>
        <w:t>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000000" w:themeColor="text1"/>
          <w:szCs w:val="21"/>
          <w:highlight w:val="none"/>
          <w:lang w:eastAsia="zh-CN"/>
          <w14:textFill>
            <w14:solidFill>
              <w14:schemeClr w14:val="tx1"/>
            </w14:solidFill>
          </w14:textFill>
        </w:rPr>
        <w:t>公路</w:t>
      </w:r>
      <w:r>
        <w:rPr>
          <w:rFonts w:hint="eastAsia" w:ascii="宋体" w:hAnsi="宋体"/>
          <w:color w:val="000000" w:themeColor="text1"/>
          <w:szCs w:val="21"/>
          <w:highlight w:val="none"/>
          <w14:textFill>
            <w14:solidFill>
              <w14:schemeClr w14:val="tx1"/>
            </w14:solidFill>
          </w14:textFill>
        </w:rPr>
        <w:t>工程施工总承包三级（含</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eastAsia="zh-CN"/>
          <w14:textFill>
            <w14:solidFill>
              <w14:schemeClr w14:val="tx1"/>
            </w14:solidFill>
          </w14:textFill>
        </w:rPr>
        <w:t>及</w:t>
      </w:r>
      <w:r>
        <w:rPr>
          <w:rFonts w:hint="eastAsia" w:ascii="宋体" w:hAnsi="宋体"/>
          <w:color w:val="000000" w:themeColor="text1"/>
          <w:szCs w:val="21"/>
          <w14:textFill>
            <w14:solidFill>
              <w14:schemeClr w14:val="tx1"/>
            </w14:solidFill>
          </w14:textFill>
        </w:rPr>
        <w:t>以上资质，具备有效的安全生产许可证，并在人员、设备、资金等方面具备相应的施工能力。拟派的项目经理须具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000000" w:themeColor="text1"/>
          <w:szCs w:val="21"/>
          <w:lang w:eastAsia="zh-CN"/>
          <w14:textFill>
            <w14:solidFill>
              <w14:schemeClr w14:val="tx1"/>
            </w14:solidFill>
          </w14:textFill>
        </w:rPr>
        <w:t>公路工程</w:t>
      </w:r>
      <w:r>
        <w:rPr>
          <w:rFonts w:hint="eastAsia" w:ascii="宋体" w:hAnsi="宋体"/>
          <w:color w:val="000000" w:themeColor="text1"/>
          <w:szCs w:val="21"/>
          <w14:textFill>
            <w14:solidFill>
              <w14:schemeClr w14:val="tx1"/>
            </w14:solidFill>
          </w14:textFill>
        </w:rPr>
        <w:t>专业</w:t>
      </w:r>
      <w:r>
        <w:rPr>
          <w:rFonts w:hint="eastAsia" w:ascii="宋体" w:hAnsi="宋体"/>
          <w:color w:val="000000" w:themeColor="text1"/>
          <w:szCs w:val="21"/>
          <w:lang w:eastAsia="zh-CN"/>
          <w14:textFill>
            <w14:solidFill>
              <w14:schemeClr w14:val="tx1"/>
            </w14:solidFill>
          </w14:textFill>
        </w:rPr>
        <w:t>贰</w:t>
      </w:r>
      <w:r>
        <w:rPr>
          <w:rFonts w:hint="eastAsia" w:ascii="宋体" w:hAnsi="宋体"/>
          <w:color w:val="000000" w:themeColor="text1"/>
          <w:szCs w:val="21"/>
          <w14:textFill>
            <w14:solidFill>
              <w14:schemeClr w14:val="tx1"/>
            </w14:solidFill>
          </w14:textFill>
        </w:rPr>
        <w:t>级(</w:t>
      </w:r>
      <w:r>
        <w:rPr>
          <w:rFonts w:hint="eastAsia" w:ascii="宋体" w:hAnsi="宋体"/>
          <w:color w:val="auto"/>
          <w:szCs w:val="21"/>
        </w:rPr>
        <w:t>含)以上注册建造师执业资格及有效的安全生产考核合格证书（B类）。</w:t>
      </w:r>
    </w:p>
    <w:p w14:paraId="2188D4DF">
      <w:pPr>
        <w:spacing w:line="360" w:lineRule="auto"/>
        <w:ind w:firstLine="354" w:firstLineChars="147"/>
        <w:rPr>
          <w:rFonts w:ascii="黑体" w:hAnsi="黑体" w:eastAsia="黑体"/>
          <w:b/>
          <w:color w:val="auto"/>
          <w:sz w:val="24"/>
        </w:rPr>
      </w:pPr>
      <w:bookmarkStart w:id="28" w:name="_Toc71365907"/>
      <w:r>
        <w:rPr>
          <w:rFonts w:hint="eastAsia" w:ascii="黑体" w:hAnsi="黑体" w:eastAsia="黑体"/>
          <w:b/>
          <w:color w:val="auto"/>
          <w:sz w:val="24"/>
        </w:rPr>
        <w:t>三、</w:t>
      </w:r>
      <w:bookmarkEnd w:id="23"/>
      <w:bookmarkEnd w:id="24"/>
      <w:bookmarkEnd w:id="25"/>
      <w:bookmarkEnd w:id="26"/>
      <w:bookmarkEnd w:id="27"/>
      <w:bookmarkEnd w:id="28"/>
      <w:r>
        <w:rPr>
          <w:rFonts w:hint="eastAsia" w:ascii="黑体" w:hAnsi="黑体" w:eastAsia="黑体"/>
          <w:b/>
          <w:color w:val="auto"/>
          <w:sz w:val="24"/>
        </w:rPr>
        <w:t>获取采购文件</w:t>
      </w:r>
    </w:p>
    <w:p w14:paraId="0925A14D">
      <w:pPr>
        <w:spacing w:line="360" w:lineRule="auto"/>
        <w:ind w:firstLine="420" w:firstLineChars="200"/>
        <w:rPr>
          <w:rFonts w:ascii="宋体" w:hAnsi="宋体" w:cs="宋体"/>
          <w:bCs/>
          <w:color w:val="000000" w:themeColor="text1"/>
          <w:kern w:val="0"/>
          <w:szCs w:val="21"/>
          <w14:textFill>
            <w14:solidFill>
              <w14:schemeClr w14:val="tx1"/>
            </w14:solidFill>
          </w14:textFill>
        </w:rPr>
      </w:pPr>
      <w:bookmarkStart w:id="29" w:name="_Toc28359015"/>
      <w:bookmarkStart w:id="30" w:name="_Toc28359092"/>
      <w:bookmarkStart w:id="31" w:name="_Toc35393801"/>
      <w:bookmarkStart w:id="32" w:name="_Toc35393632"/>
      <w:bookmarkStart w:id="33" w:name="_Toc44229881"/>
      <w:r>
        <w:rPr>
          <w:rFonts w:hint="eastAsia" w:ascii="宋体" w:hAnsi="宋体" w:cs="宋体"/>
          <w:bCs/>
          <w:color w:val="auto"/>
          <w:kern w:val="0"/>
          <w:szCs w:val="21"/>
          <w:highlight w:val="none"/>
        </w:rPr>
        <w:t>时间：</w:t>
      </w:r>
      <w:r>
        <w:rPr>
          <w:rFonts w:hint="eastAsia" w:ascii="宋体" w:hAnsi="宋体" w:cs="宋体"/>
          <w:bCs/>
          <w:color w:val="auto"/>
          <w:kern w:val="0"/>
          <w:szCs w:val="21"/>
          <w:highlight w:val="none"/>
          <w:lang w:eastAsia="zh-CN"/>
        </w:rPr>
        <w:t>发布之</w:t>
      </w:r>
      <w:r>
        <w:rPr>
          <w:rFonts w:hint="eastAsia" w:ascii="宋体" w:hAnsi="宋体" w:cs="宋体"/>
          <w:bCs/>
          <w:color w:val="000000" w:themeColor="text1"/>
          <w:kern w:val="0"/>
          <w:szCs w:val="21"/>
          <w:highlight w:val="none"/>
          <w:lang w:eastAsia="zh-CN"/>
          <w14:textFill>
            <w14:solidFill>
              <w14:schemeClr w14:val="tx1"/>
            </w14:solidFill>
          </w14:textFill>
        </w:rPr>
        <w:t>日起</w:t>
      </w:r>
      <w:r>
        <w:rPr>
          <w:rFonts w:hint="eastAsia" w:ascii="宋体" w:hAnsi="宋体" w:cs="宋体"/>
          <w:bCs/>
          <w:color w:val="000000" w:themeColor="text1"/>
          <w:kern w:val="0"/>
          <w:szCs w:val="21"/>
          <w:highlight w:val="none"/>
          <w14:textFill>
            <w14:solidFill>
              <w14:schemeClr w14:val="tx1"/>
            </w14:solidFill>
          </w14:textFill>
        </w:rPr>
        <w:t>至</w:t>
      </w:r>
      <w:r>
        <w:rPr>
          <w:rFonts w:hint="eastAsia" w:ascii="宋体" w:hAnsi="宋体"/>
          <w:color w:val="000000" w:themeColor="text1"/>
          <w:szCs w:val="21"/>
          <w:highlight w:val="none"/>
          <w:lang w:eastAsia="zh-CN"/>
          <w14:textFill>
            <w14:solidFill>
              <w14:schemeClr w14:val="tx1"/>
            </w14:solidFill>
          </w14:textFill>
        </w:rPr>
        <w:t>202</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lang w:eastAsia="zh-CN"/>
          <w14:textFill>
            <w14:solidFill>
              <w14:schemeClr w14:val="tx1"/>
            </w14:solidFill>
          </w14:textFill>
        </w:rPr>
        <w:t>年</w:t>
      </w: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 xml:space="preserve"> 05</w:t>
      </w:r>
      <w:r>
        <w:rPr>
          <w:rFonts w:hint="eastAsia" w:ascii="宋体" w:hAnsi="宋体"/>
          <w:color w:val="000000" w:themeColor="text1"/>
          <w:szCs w:val="21"/>
          <w:highlight w:val="none"/>
          <w:lang w:eastAsia="zh-CN"/>
          <w14:textFill>
            <w14:solidFill>
              <w14:schemeClr w14:val="tx1"/>
            </w14:solidFill>
          </w14:textFill>
        </w:rPr>
        <w:t>日</w:t>
      </w:r>
      <w:r>
        <w:rPr>
          <w:rFonts w:hint="eastAsia" w:ascii="宋体" w:hAnsi="宋体" w:cs="宋体"/>
          <w:bCs/>
          <w:color w:val="000000" w:themeColor="text1"/>
          <w:kern w:val="0"/>
          <w:szCs w:val="21"/>
          <w:highlight w:val="none"/>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每天上午00:00至12:00，下午12:00至23:59（北京时间）</w:t>
      </w:r>
    </w:p>
    <w:p w14:paraId="297C5074">
      <w:pPr>
        <w:spacing w:line="360" w:lineRule="auto"/>
        <w:ind w:firstLine="420" w:firstLineChars="20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地点（网址）：广西政府采购云平台线上获取 </w:t>
      </w:r>
    </w:p>
    <w:p w14:paraId="3C504789">
      <w:pPr>
        <w:spacing w:line="360" w:lineRule="auto"/>
        <w:ind w:firstLine="420" w:firstLineChars="200"/>
        <w:rPr>
          <w:rFonts w:hint="eastAsia"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02BC0114">
      <w:pPr>
        <w:spacing w:line="360" w:lineRule="auto"/>
        <w:ind w:firstLine="420" w:firstLineChars="20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售价（元）：0</w:t>
      </w:r>
    </w:p>
    <w:p w14:paraId="1C38128A">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34" w:name="_Toc71365908"/>
      <w:r>
        <w:rPr>
          <w:rFonts w:hint="eastAsia" w:ascii="黑体" w:hAnsi="黑体" w:eastAsia="黑体"/>
          <w:b/>
          <w:color w:val="000000" w:themeColor="text1"/>
          <w:sz w:val="24"/>
          <w14:textFill>
            <w14:solidFill>
              <w14:schemeClr w14:val="tx1"/>
            </w14:solidFill>
          </w14:textFill>
        </w:rPr>
        <w:t>四、响应文件提交</w:t>
      </w:r>
      <w:bookmarkEnd w:id="29"/>
      <w:bookmarkEnd w:id="30"/>
      <w:bookmarkEnd w:id="31"/>
      <w:bookmarkEnd w:id="32"/>
      <w:bookmarkEnd w:id="33"/>
      <w:bookmarkEnd w:id="34"/>
    </w:p>
    <w:p w14:paraId="75E25AA9">
      <w:pPr>
        <w:spacing w:line="360" w:lineRule="auto"/>
        <w:ind w:firstLine="420" w:firstLineChars="200"/>
        <w:rPr>
          <w:rFonts w:ascii="宋体" w:hAnsi="宋体"/>
          <w:color w:val="000000" w:themeColor="text1"/>
          <w:szCs w:val="21"/>
          <w14:textFill>
            <w14:solidFill>
              <w14:schemeClr w14:val="tx1"/>
            </w14:solidFill>
          </w14:textFill>
        </w:rPr>
      </w:pPr>
      <w:bookmarkStart w:id="35" w:name="_Toc28359093"/>
      <w:bookmarkStart w:id="36" w:name="_Toc44229882"/>
      <w:bookmarkStart w:id="37" w:name="_Toc35393802"/>
      <w:bookmarkStart w:id="38" w:name="_Toc28359016"/>
      <w:bookmarkStart w:id="39" w:name="_Toc35393633"/>
      <w:r>
        <w:rPr>
          <w:rFonts w:hint="eastAsia" w:ascii="宋体" w:hAnsi="宋体"/>
          <w:color w:val="000000" w:themeColor="text1"/>
          <w:szCs w:val="21"/>
          <w14:textFill>
            <w14:solidFill>
              <w14:schemeClr w14:val="tx1"/>
            </w14:solidFill>
          </w14:textFill>
        </w:rPr>
        <w:t>截止时间：</w:t>
      </w:r>
      <w:r>
        <w:rPr>
          <w:rFonts w:hint="eastAsia" w:ascii="宋体" w:hAnsi="宋体"/>
          <w:color w:val="000000" w:themeColor="text1"/>
          <w:szCs w:val="21"/>
          <w:lang w:eastAsia="zh-CN"/>
          <w14:textFill>
            <w14:solidFill>
              <w14:schemeClr w14:val="tx1"/>
            </w14:solidFill>
          </w14:textFill>
        </w:rPr>
        <w:t>202</w:t>
      </w:r>
      <w:r>
        <w:rPr>
          <w:rFonts w:hint="eastAsia" w:ascii="宋体" w:hAnsi="宋体"/>
          <w:color w:val="000000" w:themeColor="text1"/>
          <w:szCs w:val="21"/>
          <w:lang w:val="en-US" w:eastAsia="zh-CN"/>
          <w14:textFill>
            <w14:solidFill>
              <w14:schemeClr w14:val="tx1"/>
            </w14:solidFill>
          </w14:textFill>
        </w:rPr>
        <w:t>6</w:t>
      </w:r>
      <w:r>
        <w:rPr>
          <w:rFonts w:hint="eastAsia" w:ascii="宋体" w:hAnsi="宋体"/>
          <w:color w:val="000000" w:themeColor="text1"/>
          <w:szCs w:val="21"/>
          <w:lang w:eastAsia="zh-CN"/>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1</w:t>
      </w:r>
      <w:r>
        <w:rPr>
          <w:rFonts w:hint="eastAsia" w:ascii="宋体" w:hAnsi="宋体"/>
          <w:color w:val="000000" w:themeColor="text1"/>
          <w:szCs w:val="21"/>
          <w:lang w:eastAsia="zh-CN"/>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08</w:t>
      </w:r>
      <w:r>
        <w:rPr>
          <w:rFonts w:hint="eastAsia" w:ascii="宋体" w:hAnsi="宋体"/>
          <w:color w:val="000000" w:themeColor="text1"/>
          <w:szCs w:val="21"/>
          <w:lang w:eastAsia="zh-CN"/>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lang w:eastAsia="zh-CN"/>
          <w14:textFill>
            <w14:solidFill>
              <w14:schemeClr w14:val="tx1"/>
            </w14:solidFill>
          </w14:textFill>
        </w:rPr>
        <w:t>0</w:t>
      </w:r>
      <w:r>
        <w:rPr>
          <w:rFonts w:hint="eastAsia" w:ascii="宋体" w:hAnsi="宋体"/>
          <w:color w:val="000000" w:themeColor="text1"/>
          <w:szCs w:val="21"/>
          <w14:textFill>
            <w14:solidFill>
              <w14:schemeClr w14:val="tx1"/>
            </w14:solidFill>
          </w14:textFill>
        </w:rPr>
        <w:t>（北京时间）</w:t>
      </w:r>
    </w:p>
    <w:p w14:paraId="424063FB">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地点（网址）：请登录广西政府采购云平台投标客户端投标</w:t>
      </w:r>
    </w:p>
    <w:p w14:paraId="595C8A6E">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0" w:name="_Toc71365909"/>
      <w:r>
        <w:rPr>
          <w:rFonts w:hint="eastAsia" w:ascii="黑体" w:hAnsi="黑体" w:eastAsia="黑体"/>
          <w:b/>
          <w:color w:val="000000" w:themeColor="text1"/>
          <w:sz w:val="24"/>
          <w14:textFill>
            <w14:solidFill>
              <w14:schemeClr w14:val="tx1"/>
            </w14:solidFill>
          </w14:textFill>
        </w:rPr>
        <w:t>五、响应文件开启</w:t>
      </w:r>
      <w:bookmarkEnd w:id="35"/>
      <w:bookmarkEnd w:id="36"/>
      <w:bookmarkEnd w:id="37"/>
      <w:bookmarkEnd w:id="38"/>
      <w:bookmarkEnd w:id="39"/>
      <w:bookmarkEnd w:id="40"/>
    </w:p>
    <w:p w14:paraId="66F00F9D">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开启时间：</w:t>
      </w:r>
      <w:r>
        <w:rPr>
          <w:rFonts w:hint="eastAsia" w:ascii="宋体" w:hAnsi="宋体"/>
          <w:color w:val="000000" w:themeColor="text1"/>
          <w:szCs w:val="21"/>
          <w:lang w:eastAsia="zh-CN"/>
          <w14:textFill>
            <w14:solidFill>
              <w14:schemeClr w14:val="tx1"/>
            </w14:solidFill>
          </w14:textFill>
        </w:rPr>
        <w:t>202</w:t>
      </w:r>
      <w:r>
        <w:rPr>
          <w:rFonts w:hint="eastAsia" w:ascii="宋体" w:hAnsi="宋体"/>
          <w:color w:val="000000" w:themeColor="text1"/>
          <w:szCs w:val="21"/>
          <w:lang w:val="en-US" w:eastAsia="zh-CN"/>
          <w14:textFill>
            <w14:solidFill>
              <w14:schemeClr w14:val="tx1"/>
            </w14:solidFill>
          </w14:textFill>
        </w:rPr>
        <w:t>6</w:t>
      </w:r>
      <w:r>
        <w:rPr>
          <w:rFonts w:hint="eastAsia" w:ascii="宋体" w:hAnsi="宋体"/>
          <w:color w:val="000000" w:themeColor="text1"/>
          <w:szCs w:val="21"/>
          <w:lang w:eastAsia="zh-CN"/>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1</w:t>
      </w:r>
      <w:r>
        <w:rPr>
          <w:rFonts w:hint="eastAsia" w:ascii="宋体" w:hAnsi="宋体"/>
          <w:color w:val="000000" w:themeColor="text1"/>
          <w:szCs w:val="21"/>
          <w:lang w:eastAsia="zh-CN"/>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08 </w:t>
      </w:r>
      <w:r>
        <w:rPr>
          <w:rFonts w:hint="eastAsia" w:ascii="宋体" w:hAnsi="宋体"/>
          <w:color w:val="000000" w:themeColor="text1"/>
          <w:szCs w:val="21"/>
          <w:lang w:eastAsia="zh-CN"/>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lang w:eastAsia="zh-CN"/>
          <w14:textFill>
            <w14:solidFill>
              <w14:schemeClr w14:val="tx1"/>
            </w14:solidFill>
          </w14:textFill>
        </w:rPr>
        <w:t xml:space="preserve">0 </w:t>
      </w:r>
      <w:r>
        <w:rPr>
          <w:rFonts w:hint="eastAsia" w:ascii="宋体" w:hAnsi="宋体"/>
          <w:color w:val="000000" w:themeColor="text1"/>
          <w:szCs w:val="21"/>
          <w14:textFill>
            <w14:solidFill>
              <w14:schemeClr w14:val="tx1"/>
            </w14:solidFill>
          </w14:textFill>
        </w:rPr>
        <w:t>（北京时间</w:t>
      </w:r>
      <w:r>
        <w:rPr>
          <w:rFonts w:hint="eastAsia" w:ascii="宋体" w:hAnsi="宋体"/>
          <w:color w:val="000000" w:themeColor="text1"/>
          <w:szCs w:val="21"/>
          <w14:textFill>
            <w14:solidFill>
              <w14:schemeClr w14:val="tx1"/>
            </w14:solidFill>
          </w14:textFill>
        </w:rPr>
        <w:t>）</w:t>
      </w:r>
    </w:p>
    <w:p w14:paraId="12D75E52">
      <w:pPr>
        <w:spacing w:line="360" w:lineRule="auto"/>
        <w:ind w:firstLine="420" w:firstLineChars="200"/>
        <w:rPr>
          <w:rFonts w:ascii="宋体" w:hAnsi="宋体" w:cs="宋体"/>
          <w:bCs/>
          <w:color w:val="auto"/>
          <w:kern w:val="0"/>
          <w:szCs w:val="21"/>
        </w:rPr>
      </w:pPr>
      <w:r>
        <w:rPr>
          <w:rFonts w:hint="eastAsia" w:ascii="宋体" w:hAnsi="宋体" w:cs="宋体"/>
          <w:bCs/>
          <w:color w:val="000000" w:themeColor="text1"/>
          <w:kern w:val="0"/>
          <w:szCs w:val="21"/>
          <w14:textFill>
            <w14:solidFill>
              <w14:schemeClr w14:val="tx1"/>
            </w14:solidFill>
          </w14:textFill>
        </w:rPr>
        <w:t>地点：广西政府采购云平台（https://www.gcy.zfcg.</w:t>
      </w:r>
      <w:r>
        <w:rPr>
          <w:rFonts w:hint="eastAsia" w:ascii="宋体" w:hAnsi="宋体" w:cs="宋体"/>
          <w:bCs/>
          <w:color w:val="auto"/>
          <w:kern w:val="0"/>
          <w:szCs w:val="21"/>
        </w:rPr>
        <w:t>gxzf.gov.cn/）</w:t>
      </w:r>
      <w:r>
        <w:rPr>
          <w:rFonts w:hint="eastAsia" w:ascii="宋体" w:hAnsi="宋体" w:cs="宋体"/>
          <w:bCs/>
          <w:color w:val="auto"/>
          <w:kern w:val="0"/>
          <w:szCs w:val="21"/>
          <w:lang w:eastAsia="zh-CN"/>
        </w:rPr>
        <w:t>在线解密</w:t>
      </w:r>
      <w:r>
        <w:rPr>
          <w:rFonts w:hint="eastAsia" w:ascii="宋体" w:hAnsi="宋体" w:cs="宋体"/>
          <w:bCs/>
          <w:color w:val="auto"/>
          <w:kern w:val="0"/>
          <w:szCs w:val="21"/>
        </w:rPr>
        <w:t>。本项目采用远程异地评标</w:t>
      </w:r>
      <w:r>
        <w:rPr>
          <w:rFonts w:hint="eastAsia" w:ascii="宋体" w:hAnsi="宋体" w:cs="宋体"/>
          <w:bCs/>
          <w:color w:val="auto"/>
          <w:kern w:val="0"/>
          <w:szCs w:val="21"/>
          <w:lang w:eastAsia="zh-CN"/>
        </w:rPr>
        <w:t>，</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7596E7A6">
      <w:pPr>
        <w:spacing w:line="360" w:lineRule="auto"/>
        <w:ind w:firstLine="354" w:firstLineChars="147"/>
        <w:rPr>
          <w:rFonts w:ascii="黑体" w:hAnsi="黑体" w:eastAsia="黑体"/>
          <w:b/>
          <w:color w:val="auto"/>
          <w:sz w:val="24"/>
        </w:rPr>
      </w:pPr>
      <w:bookmarkStart w:id="41" w:name="_Toc28359094"/>
      <w:bookmarkStart w:id="42" w:name="_Toc44229883"/>
      <w:bookmarkStart w:id="43" w:name="_Toc28359017"/>
      <w:bookmarkStart w:id="44" w:name="_Toc35393803"/>
      <w:bookmarkStart w:id="45" w:name="_Toc71365910"/>
      <w:bookmarkStart w:id="46" w:name="_Toc35393634"/>
      <w:r>
        <w:rPr>
          <w:rFonts w:hint="eastAsia" w:ascii="黑体" w:hAnsi="黑体" w:eastAsia="黑体"/>
          <w:b/>
          <w:color w:val="auto"/>
          <w:sz w:val="24"/>
        </w:rPr>
        <w:t>六、公告期限</w:t>
      </w:r>
      <w:bookmarkEnd w:id="41"/>
      <w:bookmarkEnd w:id="42"/>
      <w:bookmarkEnd w:id="43"/>
      <w:bookmarkEnd w:id="44"/>
      <w:bookmarkEnd w:id="45"/>
      <w:bookmarkEnd w:id="46"/>
    </w:p>
    <w:p w14:paraId="2F3C65F3">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自本公告发布之日起</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个工作日。</w:t>
      </w:r>
    </w:p>
    <w:p w14:paraId="1BB749A8">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7" w:name="_Toc71365911"/>
      <w:bookmarkStart w:id="48" w:name="_Toc35393635"/>
      <w:bookmarkStart w:id="49" w:name="_Toc44229884"/>
      <w:bookmarkStart w:id="50" w:name="_Toc35393804"/>
      <w:r>
        <w:rPr>
          <w:rFonts w:hint="eastAsia" w:ascii="黑体" w:hAnsi="黑体" w:eastAsia="黑体"/>
          <w:b/>
          <w:color w:val="000000" w:themeColor="text1"/>
          <w:sz w:val="24"/>
          <w14:textFill>
            <w14:solidFill>
              <w14:schemeClr w14:val="tx1"/>
            </w14:solidFill>
          </w14:textFill>
        </w:rPr>
        <w:t>七、其他补充事宜</w:t>
      </w:r>
      <w:bookmarkEnd w:id="47"/>
      <w:bookmarkEnd w:id="48"/>
      <w:bookmarkEnd w:id="49"/>
      <w:bookmarkEnd w:id="50"/>
    </w:p>
    <w:p w14:paraId="1328E022">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网上查询地址</w:t>
      </w:r>
    </w:p>
    <w:p w14:paraId="0DABAAD5">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（中国政府采购网）、</w:t>
      </w:r>
      <w:r>
        <w:rPr>
          <w:rFonts w:ascii="宋体" w:hAnsi="宋体" w:cs="宋体"/>
          <w:color w:val="000000" w:themeColor="text1"/>
          <w:kern w:val="0"/>
          <w:szCs w:val="21"/>
          <w14:textFill>
            <w14:solidFill>
              <w14:schemeClr w14:val="tx1"/>
            </w14:solidFill>
          </w14:textFill>
        </w:rPr>
        <w:t>zfcg.gxzf.gov.cn</w:t>
      </w:r>
      <w:r>
        <w:rPr>
          <w:rFonts w:hint="eastAsia" w:ascii="宋体" w:hAnsi="宋体" w:cs="宋体"/>
          <w:color w:val="000000" w:themeColor="text1"/>
          <w:kern w:val="0"/>
          <w:szCs w:val="21"/>
          <w14:textFill>
            <w14:solidFill>
              <w14:schemeClr w14:val="tx1"/>
            </w14:solidFill>
          </w14:textFill>
        </w:rPr>
        <w:t>（广西壮族自治区政府采购网）</w:t>
      </w:r>
      <w:r>
        <w:rPr>
          <w:rFonts w:hint="eastAsia" w:ascii="宋体" w:hAnsi="宋体" w:cs="宋体"/>
          <w:i/>
          <w:color w:val="000000" w:themeColor="text1"/>
          <w:kern w:val="0"/>
          <w:szCs w:val="21"/>
          <w14:textFill>
            <w14:solidFill>
              <w14:schemeClr w14:val="tx1"/>
            </w14:solidFill>
          </w14:textFill>
        </w:rPr>
        <w:t>。</w:t>
      </w:r>
    </w:p>
    <w:p w14:paraId="25EDCA00">
      <w:pPr>
        <w:spacing w:line="360" w:lineRule="auto"/>
        <w:ind w:firstLine="424" w:firstLineChars="202"/>
        <w:rPr>
          <w:rFonts w:ascii="宋体" w:cs="宋体"/>
          <w:color w:val="000000" w:themeColor="text1"/>
          <w:kern w:val="0"/>
          <w:szCs w:val="21"/>
          <w14:textFill>
            <w14:solidFill>
              <w14:schemeClr w14:val="tx1"/>
            </w14:solidFill>
          </w14:textFill>
        </w:rPr>
      </w:pPr>
      <w:bookmarkStart w:id="51" w:name="_Hlk37429674"/>
      <w:bookmarkStart w:id="52" w:name="_Toc28359018"/>
      <w:bookmarkStart w:id="53" w:name="_Toc35393636"/>
      <w:bookmarkStart w:id="54" w:name="_Toc35393805"/>
      <w:bookmarkStart w:id="55" w:name="_Toc28359095"/>
      <w:bookmarkStart w:id="56" w:name="_Toc44229885"/>
      <w:r>
        <w:rPr>
          <w:rFonts w:ascii="宋体" w:hAnsi="宋体"/>
          <w:color w:val="000000" w:themeColor="text1"/>
          <w:szCs w:val="21"/>
          <w14:textFill>
            <w14:solidFill>
              <w14:schemeClr w14:val="tx1"/>
            </w14:solidFill>
          </w14:textFill>
        </w:rPr>
        <w:t>2</w:t>
      </w:r>
      <w:r>
        <w:rPr>
          <w:rFonts w:ascii="宋体"/>
          <w:color w:val="000000" w:themeColor="text1"/>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本项目需要落实的政府采购政策</w:t>
      </w:r>
    </w:p>
    <w:p w14:paraId="41FE7702">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75394826">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5854671A">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0A6909F">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2ED96485">
      <w:pPr>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bookmarkEnd w:id="51"/>
    <w:p w14:paraId="777492E6">
      <w:pPr>
        <w:spacing w:line="360" w:lineRule="auto"/>
        <w:ind w:firstLine="420" w:firstLineChars="200"/>
        <w:rPr>
          <w:rFonts w:hint="eastAsia" w:ascii="宋体" w:hAnsi="宋体"/>
          <w:color w:val="auto"/>
          <w:szCs w:val="21"/>
        </w:rPr>
      </w:pPr>
      <w:r>
        <w:rPr>
          <w:rFonts w:hint="eastAsia" w:ascii="宋体" w:hAnsi="宋体"/>
          <w:color w:val="auto"/>
          <w:szCs w:val="21"/>
        </w:rPr>
        <w:t>3.</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56EB67CF">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竞标注意事项</w:t>
      </w:r>
    </w:p>
    <w:p w14:paraId="0601169B">
      <w:pPr>
        <w:widowControl/>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388A5540">
      <w:pPr>
        <w:widowControl/>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）未进行网上注册并办理数字证书（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数字证书办理及响应文件的提交（供应商可登录“广西政府采购网”，依次进入“办事服务</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下载专区”或者登录</w:t>
      </w:r>
      <w:r>
        <w:rPr>
          <w:rFonts w:hint="eastAsia" w:ascii="宋体" w:hAnsi="宋体" w:cs="宋体"/>
          <w:color w:val="000000" w:themeColor="text1"/>
          <w:kern w:val="0"/>
          <w:szCs w:val="21"/>
          <w14:textFill>
            <w14:solidFill>
              <w14:schemeClr w14:val="tx1"/>
            </w14:solidFill>
          </w14:textFill>
        </w:rPr>
        <w:t>“政采云”平台，</w:t>
      </w:r>
      <w:r>
        <w:rPr>
          <w:rFonts w:hint="eastAsia" w:ascii="宋体" w:hAnsi="宋体"/>
          <w:color w:val="000000" w:themeColor="text1"/>
          <w:szCs w:val="21"/>
          <w14:textFill>
            <w14:solidFill>
              <w14:schemeClr w14:val="tx1"/>
            </w14:solidFill>
          </w14:textFill>
        </w:rPr>
        <w:t>依次进入“服务中心</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入驻与配置”中查看</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Cs w:val="21"/>
          <w14:textFill>
            <w14:solidFill>
              <w14:schemeClr w14:val="tx1"/>
            </w14:solidFill>
          </w14:textFill>
        </w:rPr>
        <w:t>95763</w:t>
      </w:r>
      <w:r>
        <w:rPr>
          <w:rFonts w:hint="eastAsia" w:ascii="宋体" w:hAnsi="宋体"/>
          <w:color w:val="000000" w:themeColor="text1"/>
          <w:szCs w:val="21"/>
          <w14:textFill>
            <w14:solidFill>
              <w14:schemeClr w14:val="tx1"/>
            </w14:solidFill>
          </w14:textFill>
        </w:rPr>
        <w:t>）。</w:t>
      </w:r>
    </w:p>
    <w:p w14:paraId="34A889C7">
      <w:pPr>
        <w:widowControl/>
        <w:spacing w:line="360" w:lineRule="auto"/>
        <w:ind w:firstLine="420" w:firstLineChars="200"/>
        <w:jc w:val="left"/>
        <w:rPr>
          <w:rFonts w:asci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证书在线解密：首次响应文件开启时，需携带制作响应文件时用来加密的有效数字证书（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认证）登录“政采云</w:t>
      </w:r>
      <w:r>
        <w:rPr>
          <w:rFonts w:hint="eastAsia" w:ascii="宋体" w:hAnsi="宋体" w:cs="宋体"/>
          <w:color w:val="000000" w:themeColor="text1"/>
          <w:kern w:val="0"/>
          <w:szCs w:val="21"/>
          <w14:textFill>
            <w14:solidFill>
              <w14:schemeClr w14:val="tx1"/>
            </w14:solidFill>
          </w14:textFill>
        </w:rPr>
        <w:t>”平台电子开标大厅现场按规定时间对加密的响应文件进行解密，否则后果自负。</w:t>
      </w:r>
    </w:p>
    <w:p w14:paraId="4FB6A389">
      <w:pPr>
        <w:widowControl/>
        <w:spacing w:line="360" w:lineRule="auto"/>
        <w:ind w:firstLine="420" w:firstLineChars="200"/>
        <w:jc w:val="left"/>
        <w:rPr>
          <w:rFonts w:asci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数字证书并使用有效的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数字证书参与整个采购活动。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344A4CF3">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）供应商需要在具备有摄像头及语音功能且互联网网络状况良好的电脑登录“政采云”平台远程开标大厅参与本次磋商，否则后果自负。</w:t>
      </w:r>
    </w:p>
    <w:p w14:paraId="77BECD27">
      <w:pPr>
        <w:widowControl/>
        <w:spacing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w:t>
      </w:r>
      <w:r>
        <w:rPr>
          <w:rFonts w:hint="eastAsia" w:ascii="宋体" w:hAnsi="宋体"/>
          <w:b/>
          <w:bCs/>
          <w:color w:val="000000" w:themeColor="text1"/>
          <w:szCs w:val="21"/>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5C13AC19">
      <w:pPr>
        <w:widowControl/>
        <w:spacing w:line="360" w:lineRule="auto"/>
        <w:ind w:firstLine="422" w:firstLineChars="200"/>
        <w:jc w:val="left"/>
        <w:rPr>
          <w:rFonts w:hint="default" w:ascii="宋体" w:hAnsi="宋体"/>
          <w:b/>
          <w:bCs/>
          <w:color w:val="000000" w:themeColor="text1"/>
          <w:szCs w:val="21"/>
          <w:lang w:val="en-US"/>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6.</w:t>
      </w:r>
      <w:r>
        <w:rPr>
          <w:rFonts w:hint="eastAsia" w:ascii="宋体" w:hAnsi="宋体" w:cs="宋体"/>
          <w:color w:val="auto"/>
          <w:szCs w:val="21"/>
          <w:lang w:val="en-US" w:eastAsia="zh-CN"/>
        </w:rPr>
        <w:t>政府采购监督管理部门</w:t>
      </w:r>
      <w:r>
        <w:rPr>
          <w:rFonts w:hint="eastAsia" w:ascii="宋体" w:hAnsi="宋体" w:cs="宋体"/>
          <w:color w:val="000000" w:themeColor="text1"/>
          <w:szCs w:val="21"/>
          <w:lang w:val="en-US" w:eastAsia="zh-CN"/>
          <w14:textFill>
            <w14:solidFill>
              <w14:schemeClr w14:val="tx1"/>
            </w14:solidFill>
          </w14:textFill>
        </w:rPr>
        <w:t>：崇左市江州区财政局政府采购监督管理股   联系方式：0771-7829899</w:t>
      </w:r>
    </w:p>
    <w:p w14:paraId="51E19BC5">
      <w:pPr>
        <w:spacing w:line="360" w:lineRule="auto"/>
        <w:ind w:firstLine="354" w:firstLineChars="147"/>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八、凡对本次采购提出询问，请按以下方式联系。</w:t>
      </w:r>
      <w:bookmarkEnd w:id="52"/>
      <w:bookmarkEnd w:id="53"/>
      <w:bookmarkEnd w:id="54"/>
      <w:bookmarkEnd w:id="55"/>
      <w:bookmarkEnd w:id="56"/>
    </w:p>
    <w:p w14:paraId="6C18D458">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1.采购人信息</w:t>
      </w:r>
    </w:p>
    <w:p w14:paraId="4A5A7D67">
      <w:pPr>
        <w:spacing w:line="360" w:lineRule="auto"/>
        <w:ind w:firstLine="420" w:firstLineChars="20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lang w:eastAsia="zh-CN"/>
          <w14:textFill>
            <w14:solidFill>
              <w14:schemeClr w14:val="tx1"/>
            </w14:solidFill>
          </w14:textFill>
        </w:rPr>
        <w:t>崇左市江州区交通运输局</w:t>
      </w:r>
    </w:p>
    <w:p w14:paraId="1471916A">
      <w:pPr>
        <w:spacing w:line="360" w:lineRule="auto"/>
        <w:ind w:firstLine="420" w:firstLineChars="200"/>
        <w:rPr>
          <w:rFonts w:hint="eastAsia" w:ascii="宋体" w:hAnsi="宋体" w:eastAsia="宋体" w:cs="宋体"/>
          <w:color w:val="auto"/>
          <w:kern w:val="0"/>
          <w:szCs w:val="21"/>
          <w:lang w:eastAsia="zh-CN"/>
        </w:rPr>
      </w:pPr>
      <w:r>
        <w:rPr>
          <w:rFonts w:hint="eastAsia" w:ascii="宋体" w:hAnsi="宋体" w:cs="宋体"/>
          <w:color w:val="auto"/>
          <w:kern w:val="0"/>
          <w:szCs w:val="21"/>
        </w:rPr>
        <w:t>地址：</w:t>
      </w:r>
      <w:r>
        <w:rPr>
          <w:rFonts w:hint="eastAsia" w:ascii="宋体" w:hAnsi="宋体" w:cs="宋体"/>
          <w:color w:val="auto"/>
          <w:kern w:val="0"/>
          <w:szCs w:val="21"/>
          <w:lang w:eastAsia="zh-CN"/>
        </w:rPr>
        <w:t>崇左市江州区江南路120号</w:t>
      </w:r>
      <w:r>
        <w:rPr>
          <w:rFonts w:hint="eastAsia" w:ascii="宋体" w:hAnsi="宋体" w:cs="宋体"/>
          <w:color w:val="auto"/>
          <w:kern w:val="0"/>
          <w:szCs w:val="21"/>
          <w:lang w:val="en-US" w:eastAsia="zh-CN"/>
        </w:rPr>
        <w:t xml:space="preserve"> </w:t>
      </w:r>
    </w:p>
    <w:p w14:paraId="41C9FE86">
      <w:pPr>
        <w:spacing w:line="360" w:lineRule="auto"/>
        <w:ind w:firstLine="420" w:firstLineChars="200"/>
        <w:rPr>
          <w:rFonts w:hint="eastAsia" w:ascii="宋体" w:hAnsi="宋体" w:eastAsia="宋体" w:cs="宋体"/>
          <w:color w:val="auto"/>
          <w:kern w:val="0"/>
          <w:szCs w:val="21"/>
          <w:lang w:val="en-US" w:eastAsia="zh-CN"/>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韦工</w:t>
      </w:r>
    </w:p>
    <w:p w14:paraId="53C17557">
      <w:pPr>
        <w:spacing w:line="360" w:lineRule="auto"/>
        <w:ind w:firstLine="420" w:firstLineChars="200"/>
        <w:rPr>
          <w:rFonts w:hint="default" w:ascii="宋体" w:eastAsia="宋体"/>
          <w:color w:val="auto"/>
          <w:szCs w:val="21"/>
          <w:lang w:val="en-US" w:eastAsia="zh-CN"/>
        </w:rPr>
      </w:pPr>
      <w:r>
        <w:rPr>
          <w:rFonts w:hint="eastAsia" w:ascii="宋体" w:hAnsi="宋体" w:cs="宋体"/>
          <w:color w:val="auto"/>
          <w:kern w:val="0"/>
          <w:szCs w:val="21"/>
        </w:rPr>
        <w:t>项目联系方式：0771-7821531</w:t>
      </w:r>
    </w:p>
    <w:bookmarkEnd w:id="10"/>
    <w:p w14:paraId="2B8239E0">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2.采购代理机构信息</w:t>
      </w:r>
    </w:p>
    <w:p w14:paraId="2D26CB1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名称：</w:t>
      </w:r>
      <w:r>
        <w:rPr>
          <w:rFonts w:hint="eastAsia" w:ascii="宋体" w:hAnsi="宋体" w:cs="宋体"/>
          <w:color w:val="auto"/>
          <w:kern w:val="0"/>
          <w:szCs w:val="21"/>
          <w:lang w:eastAsia="zh-CN"/>
        </w:rPr>
        <w:t>广西坤珍建设项目管理咨询有限公司</w:t>
      </w:r>
      <w:r>
        <w:rPr>
          <w:rFonts w:hint="eastAsia" w:ascii="宋体" w:hAnsi="宋体" w:cs="宋体"/>
          <w:color w:val="auto"/>
          <w:kern w:val="0"/>
          <w:szCs w:val="21"/>
        </w:rPr>
        <w:t xml:space="preserve"> </w:t>
      </w:r>
    </w:p>
    <w:p w14:paraId="1B55648E">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w:t>
      </w:r>
    </w:p>
    <w:p w14:paraId="7600EA01">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叶工</w:t>
      </w:r>
    </w:p>
    <w:p w14:paraId="5B103102">
      <w:pPr>
        <w:spacing w:line="360" w:lineRule="auto"/>
        <w:ind w:firstLine="420" w:firstLineChars="200"/>
        <w:rPr>
          <w:rFonts w:hint="eastAsia" w:ascii="宋体" w:hAnsi="宋体" w:cs="宋体"/>
          <w:color w:val="auto"/>
          <w:kern w:val="0"/>
          <w:szCs w:val="21"/>
          <w:lang w:val="en-US" w:eastAsia="zh-CN"/>
        </w:rPr>
      </w:pPr>
      <w:r>
        <w:rPr>
          <w:rFonts w:hint="eastAsia" w:ascii="宋体" w:hAnsi="宋体" w:cs="宋体"/>
          <w:color w:val="auto"/>
          <w:kern w:val="0"/>
          <w:szCs w:val="21"/>
        </w:rPr>
        <w:t>项目联系方式：0771-</w:t>
      </w:r>
      <w:r>
        <w:rPr>
          <w:rFonts w:hint="eastAsia" w:ascii="宋体" w:hAnsi="宋体" w:cs="宋体"/>
          <w:color w:val="auto"/>
          <w:kern w:val="0"/>
          <w:szCs w:val="21"/>
          <w:lang w:val="en-US" w:eastAsia="zh-CN"/>
        </w:rPr>
        <w:t>7945829</w:t>
      </w:r>
    </w:p>
    <w:p w14:paraId="14CE48A2">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ascii="宋体" w:hAnsi="宋体" w:cs="宋体"/>
          <w:color w:val="FF0000"/>
          <w:kern w:val="0"/>
          <w:szCs w:val="21"/>
          <w:lang w:val="en-US" w:eastAsia="zh-CN"/>
        </w:rPr>
        <w:t xml:space="preserve">  </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hAnsi="Courier New"/>
          <w:color w:val="000000" w:themeColor="text1"/>
          <w14:textFill>
            <w14:solidFill>
              <w14:schemeClr w14:val="tx1"/>
            </w14:solidFill>
          </w14:textFill>
        </w:rPr>
        <w:t xml:space="preserve"> 202</w:t>
      </w:r>
      <w:r>
        <w:rPr>
          <w:rFonts w:hint="eastAsia" w:hAnsi="Courier New"/>
          <w:color w:val="000000" w:themeColor="text1"/>
          <w:lang w:val="en-US" w:eastAsia="zh-CN"/>
          <w14:textFill>
            <w14:solidFill>
              <w14:schemeClr w14:val="tx1"/>
            </w14:solidFill>
          </w14:textFill>
        </w:rPr>
        <w:t>5</w:t>
      </w:r>
      <w:r>
        <w:rPr>
          <w:rFonts w:hint="eastAsia" w:hAnsi="Courier New"/>
          <w:color w:val="000000" w:themeColor="text1"/>
          <w14:textFill>
            <w14:solidFill>
              <w14:schemeClr w14:val="tx1"/>
            </w14:solidFill>
          </w14:textFill>
        </w:rPr>
        <w:t>年</w:t>
      </w:r>
      <w:r>
        <w:rPr>
          <w:rFonts w:hint="eastAsia" w:hAnsi="Courier New"/>
          <w:color w:val="000000" w:themeColor="text1"/>
          <w:lang w:val="en-US" w:eastAsia="zh-CN"/>
          <w14:textFill>
            <w14:solidFill>
              <w14:schemeClr w14:val="tx1"/>
            </w14:solidFill>
          </w14:textFill>
        </w:rPr>
        <w:t xml:space="preserve"> 12 </w:t>
      </w:r>
      <w:r>
        <w:rPr>
          <w:rFonts w:hint="eastAsia" w:hAnsi="Courier New"/>
          <w:color w:val="000000" w:themeColor="text1"/>
          <w14:textFill>
            <w14:solidFill>
              <w14:schemeClr w14:val="tx1"/>
            </w14:solidFill>
          </w14:textFill>
        </w:rPr>
        <w:t>月</w:t>
      </w:r>
      <w:r>
        <w:rPr>
          <w:rFonts w:hint="eastAsia" w:hAnsi="Courier New"/>
          <w:color w:val="000000" w:themeColor="text1"/>
          <w:lang w:val="en-US" w:eastAsia="zh-CN"/>
          <w14:textFill>
            <w14:solidFill>
              <w14:schemeClr w14:val="tx1"/>
            </w14:solidFill>
          </w14:textFill>
        </w:rPr>
        <w:t xml:space="preserve"> 26  </w:t>
      </w:r>
      <w:r>
        <w:rPr>
          <w:rFonts w:hint="eastAsia" w:hAnsi="Courier New"/>
          <w:color w:val="000000" w:themeColor="text1"/>
          <w14:textFill>
            <w14:solidFill>
              <w14:schemeClr w14:val="tx1"/>
            </w14:solidFill>
          </w14:textFill>
        </w:rPr>
        <w:t>日</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ascii="宋体" w:cs="Arial"/>
          <w:color w:val="000000" w:themeColor="text1"/>
          <w:szCs w:val="21"/>
          <w14:textFill>
            <w14:solidFill>
              <w14:schemeClr w14:val="tx1"/>
            </w14:solidFill>
          </w14:textFill>
        </w:rPr>
        <w:br w:type="page"/>
      </w:r>
    </w:p>
    <w:p w14:paraId="06D5978A">
      <w:pPr>
        <w:pStyle w:val="2"/>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DF56929">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04380864">
      <w:pPr>
        <w:spacing w:line="400" w:lineRule="exact"/>
        <w:jc w:val="center"/>
        <w:rPr>
          <w:rFonts w:ascii="宋体"/>
          <w:b/>
          <w:color w:val="000000" w:themeColor="text1"/>
          <w:sz w:val="32"/>
          <w:szCs w:val="32"/>
          <w14:textFill>
            <w14:solidFill>
              <w14:schemeClr w14:val="tx1"/>
            </w14:solidFill>
          </w14:textFill>
        </w:rPr>
      </w:pPr>
    </w:p>
    <w:tbl>
      <w:tblPr>
        <w:tblStyle w:val="4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6506E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32960DE9">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912" w:type="dxa"/>
          </w:tcPr>
          <w:p w14:paraId="204A66A8">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内容</w:t>
            </w:r>
          </w:p>
        </w:tc>
      </w:tr>
      <w:tr w14:paraId="02D3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00D7EA5">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7912" w:type="dxa"/>
            <w:vAlign w:val="center"/>
          </w:tcPr>
          <w:p w14:paraId="2A9C95D9">
            <w:pPr>
              <w:spacing w:line="360" w:lineRule="auto"/>
              <w:rPr>
                <w:rFonts w:ascii="宋体"/>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供应商的资格条件</w:t>
            </w:r>
            <w:r>
              <w:rPr>
                <w:rFonts w:hint="eastAsia" w:ascii="宋体" w:hAnsi="宋体" w:cs="宋体"/>
                <w:color w:val="000000" w:themeColor="text1"/>
                <w:szCs w:val="21"/>
                <w14:textFill>
                  <w14:solidFill>
                    <w14:schemeClr w14:val="tx1"/>
                  </w14:solidFill>
                </w14:textFill>
              </w:rPr>
              <w:t>：详见竞争性磋商公告</w:t>
            </w:r>
            <w:r>
              <w:rPr>
                <w:rFonts w:hint="eastAsia" w:ascii="宋体" w:hAnsi="宋体"/>
                <w:color w:val="000000" w:themeColor="text1"/>
                <w:szCs w:val="21"/>
                <w14:textFill>
                  <w14:solidFill>
                    <w14:schemeClr w14:val="tx1"/>
                  </w14:solidFill>
                </w14:textFill>
              </w:rPr>
              <w:t>或者邀请函</w:t>
            </w:r>
          </w:p>
          <w:p w14:paraId="25CC01B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出现下列情形之一的，不得参加政府采购活动：</w:t>
            </w:r>
          </w:p>
          <w:p w14:paraId="4B33F0E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1C39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1E5D11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p>
        </w:tc>
        <w:tc>
          <w:tcPr>
            <w:tcW w:w="7912" w:type="dxa"/>
            <w:vAlign w:val="center"/>
          </w:tcPr>
          <w:p w14:paraId="2F9C5E05">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是否接受联合体竞标</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详见竞争性磋商公告</w:t>
            </w:r>
          </w:p>
        </w:tc>
      </w:tr>
      <w:tr w14:paraId="6F265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06107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p>
        </w:tc>
        <w:tc>
          <w:tcPr>
            <w:tcW w:w="7912" w:type="dxa"/>
            <w:vAlign w:val="center"/>
          </w:tcPr>
          <w:p w14:paraId="43370D4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如接受联合体竞标，联合体竞标要求如下：</w:t>
            </w:r>
          </w:p>
          <w:p w14:paraId="6B136D4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两个以上供应商可以组成一个竞标联合体，以一个供应商的身份共同参加竞标。联合体竞标的，须提供《联合体竞标协议书》（格式后附）。</w:t>
            </w:r>
          </w:p>
          <w:p w14:paraId="4A177E5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6346689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Cs w:val="21"/>
                <w14:textFill>
                  <w14:solidFill>
                    <w14:schemeClr w14:val="tx1"/>
                  </w14:solidFill>
                </w14:textFill>
              </w:rPr>
              <w:t>各方承担责任与义务的分工必须符合采购需求，否则，联合体竞标无效</w:t>
            </w:r>
            <w:r>
              <w:rPr>
                <w:rFonts w:hint="eastAsia" w:ascii="宋体" w:hAnsi="宋体" w:cs="宋体"/>
                <w:color w:val="000000" w:themeColor="text1"/>
                <w:szCs w:val="21"/>
                <w14:textFill>
                  <w14:solidFill>
                    <w14:schemeClr w14:val="tx1"/>
                  </w14:solidFill>
                </w14:textFill>
              </w:rPr>
              <w:t>），并将联合竞标协议放入响应文件。联合体各方必须共同与采购人签订采购合同，就采购合同约定的事项对采购人承担连带责任。</w:t>
            </w:r>
          </w:p>
          <w:p w14:paraId="08F0CA2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以联合体形式参加政府采购活动的，联合体各方不得再单独参加或者与其他供应商另外组成联合体参加同一合同项下的政府采购活动。</w:t>
            </w:r>
          </w:p>
          <w:p w14:paraId="25FFEF7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联合体中有同类资质的供应商按照联合体分工承担相同工作的，应当按照资质等级较低的供应商确定资质等级。</w:t>
            </w:r>
          </w:p>
          <w:p w14:paraId="3823842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联合体竞标业绩、履约能力按照联合体各方中较高的一方认定并计算（磋商文件另有规定的除外）。</w:t>
            </w:r>
          </w:p>
          <w:p w14:paraId="203E6DD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259DF7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联合体各方均应按照磋商文件的规定提交资格证明文件。</w:t>
            </w:r>
          </w:p>
        </w:tc>
      </w:tr>
      <w:tr w14:paraId="4CDC5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170E17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6.2</w:t>
            </w:r>
          </w:p>
        </w:tc>
        <w:tc>
          <w:tcPr>
            <w:tcW w:w="7912" w:type="dxa"/>
            <w:vAlign w:val="center"/>
          </w:tcPr>
          <w:p w14:paraId="4306D019">
            <w:pPr>
              <w:pStyle w:val="16"/>
              <w:spacing w:line="360" w:lineRule="auto"/>
              <w:rPr>
                <w:rFonts w:ascii="宋体"/>
                <w:color w:val="000000" w:themeColor="text1"/>
                <w:sz w:val="21"/>
                <w:szCs w:val="21"/>
                <w14:textFill>
                  <w14:solidFill>
                    <w14:schemeClr w14:val="tx1"/>
                  </w14:solidFill>
                </w14:textFill>
              </w:rPr>
            </w:pPr>
            <w:r>
              <w:rPr>
                <w:rFonts w:hint="eastAsia" w:ascii="仿宋_GB2312" w:hAnsi="Wingdings 2" w:eastAsia="仿宋_GB2312"/>
                <w:color w:val="000000" w:themeColor="text1"/>
                <w:sz w:val="21"/>
                <w14:textFill>
                  <w14:solidFill>
                    <w14:schemeClr w14:val="tx1"/>
                  </w14:solidFill>
                </w14:textFill>
              </w:rPr>
              <w:sym w:font="Wingdings 2" w:char="F052"/>
            </w:r>
            <w:r>
              <w:rPr>
                <w:rFonts w:hint="eastAsia" w:ascii="宋体" w:hAnsi="宋体"/>
                <w:color w:val="000000" w:themeColor="text1"/>
                <w:sz w:val="21"/>
                <w:szCs w:val="21"/>
                <w14:textFill>
                  <w14:solidFill>
                    <w14:schemeClr w14:val="tx1"/>
                  </w14:solidFill>
                </w14:textFill>
              </w:rPr>
              <w:t>不允许分包</w:t>
            </w:r>
          </w:p>
          <w:p w14:paraId="636722A3">
            <w:pPr>
              <w:pStyle w:val="16"/>
              <w:spacing w:line="360" w:lineRule="auto"/>
              <w:rPr>
                <w:rFonts w:asci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□允许分包</w:t>
            </w:r>
          </w:p>
          <w:p w14:paraId="4321F646">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分包内容：</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5FCD3CCB">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分包金额或者比例：</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7C8C0D03">
            <w:pPr>
              <w:pStyle w:val="16"/>
              <w:spacing w:line="360" w:lineRule="auto"/>
              <w:rPr>
                <w:rFonts w:asci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分包供应商必须具备的资质：</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tc>
      </w:tr>
      <w:tr w14:paraId="06DE6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7B1D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p>
        </w:tc>
        <w:tc>
          <w:tcPr>
            <w:tcW w:w="7912" w:type="dxa"/>
            <w:vAlign w:val="center"/>
          </w:tcPr>
          <w:p w14:paraId="6999068B">
            <w:pPr>
              <w:snapToGrid w:val="0"/>
              <w:spacing w:line="360" w:lineRule="auto"/>
              <w:jc w:val="left"/>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资格证明文件</w:t>
            </w:r>
          </w:p>
          <w:p w14:paraId="18CD0CC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崇左</w:t>
            </w:r>
            <w:r>
              <w:rPr>
                <w:rFonts w:ascii="宋体" w:hAnsi="宋体" w:cs="宋体"/>
                <w:color w:val="000000" w:themeColor="text1"/>
                <w:szCs w:val="21"/>
                <w:lang w:val="en-US" w:eastAsia="zh-CN"/>
                <w14:textFill>
                  <w14:solidFill>
                    <w14:schemeClr w14:val="tx1"/>
                  </w14:solidFill>
                </w14:textFill>
              </w:rPr>
              <w:t>市政府采购供应商信用承诺函</w:t>
            </w:r>
            <w:r>
              <w:rPr>
                <w:rFonts w:hint="eastAsia" w:ascii="宋体" w:hAnsi="宋体" w:cs="宋体"/>
                <w:color w:val="000000" w:themeColor="text1"/>
                <w:szCs w:val="21"/>
                <w:lang w:val="en-US" w:eastAsia="zh-CN"/>
                <w14:textFill>
                  <w14:solidFill>
                    <w14:schemeClr w14:val="tx1"/>
                  </w14:solidFill>
                </w14:textFill>
              </w:rPr>
              <w:t>（格式后附）；</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9295A1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供应商直接控股、管理关系信息表（格式后附）；（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0E2A385">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竞标声明（格式后附）；（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C1BCD0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Cs w:val="21"/>
                <w14:textFill>
                  <w14:solidFill>
                    <w14:schemeClr w14:val="tx1"/>
                  </w14:solidFill>
                </w14:textFill>
              </w:rPr>
              <w:t>（必须提供，否则响应文件按无效响应处理）</w:t>
            </w:r>
          </w:p>
          <w:p w14:paraId="33C32357">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5</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特定资格要求：</w:t>
            </w:r>
            <w:r>
              <w:rPr>
                <w:rFonts w:hint="eastAsia" w:ascii="宋体" w:hAnsi="宋体"/>
                <w:b/>
                <w:color w:val="000000" w:themeColor="text1"/>
                <w:szCs w:val="21"/>
                <w14:textFill>
                  <w14:solidFill>
                    <w14:schemeClr w14:val="tx1"/>
                  </w14:solidFill>
                </w14:textFill>
              </w:rPr>
              <w:t>【必须提供，否则响应文件按无效处理】</w:t>
            </w:r>
          </w:p>
          <w:p w14:paraId="052223B5">
            <w:pPr>
              <w:keepNext w:val="0"/>
              <w:keepLines w:val="0"/>
              <w:pageBreakBefore w:val="0"/>
              <w:widowControl w:val="0"/>
              <w:kinsoku/>
              <w:wordWrap/>
              <w:overflowPunct/>
              <w:topLinePunct w:val="0"/>
              <w:autoSpaceDE/>
              <w:autoSpaceDN/>
              <w:bidi w:val="0"/>
              <w:adjustRightInd/>
              <w:spacing w:line="420" w:lineRule="exact"/>
              <w:ind w:firstLine="210" w:firstLineChars="100"/>
              <w:textAlignment w:val="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000000" w:themeColor="text1"/>
                <w:szCs w:val="21"/>
                <w:highlight w:val="none"/>
                <w:lang w:eastAsia="zh-CN"/>
                <w14:textFill>
                  <w14:solidFill>
                    <w14:schemeClr w14:val="tx1"/>
                  </w14:solidFill>
                </w14:textFill>
              </w:rPr>
              <w:t>公路</w:t>
            </w:r>
            <w:r>
              <w:rPr>
                <w:rFonts w:hint="eastAsia" w:ascii="宋体" w:hAnsi="宋体"/>
                <w:color w:val="000000" w:themeColor="text1"/>
                <w:szCs w:val="21"/>
                <w:highlight w:val="none"/>
                <w14:textFill>
                  <w14:solidFill>
                    <w14:schemeClr w14:val="tx1"/>
                  </w14:solidFill>
                </w14:textFill>
              </w:rPr>
              <w:t>工程施工</w:t>
            </w:r>
            <w:r>
              <w:rPr>
                <w:rFonts w:hint="eastAsia" w:ascii="宋体" w:hAnsi="宋体"/>
                <w:color w:val="000000" w:themeColor="text1"/>
                <w:szCs w:val="21"/>
                <w:highlight w:val="none"/>
                <w14:textFill>
                  <w14:solidFill>
                    <w14:schemeClr w14:val="tx1"/>
                  </w14:solidFill>
                </w14:textFill>
              </w:rPr>
              <w:t>总承包三级（含</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eastAsia="zh-CN"/>
                <w14:textFill>
                  <w14:solidFill>
                    <w14:schemeClr w14:val="tx1"/>
                  </w14:solidFill>
                </w14:textFill>
              </w:rPr>
              <w:t>及</w:t>
            </w:r>
            <w:r>
              <w:rPr>
                <w:rFonts w:hint="eastAsia" w:ascii="宋体" w:hAnsi="宋体"/>
                <w:color w:val="000000" w:themeColor="text1"/>
                <w:szCs w:val="21"/>
                <w14:textFill>
                  <w14:solidFill>
                    <w14:schemeClr w14:val="tx1"/>
                  </w14:solidFill>
                </w14:textFill>
              </w:rPr>
              <w:t>以上资质，具备有效的安全生产许可证，并在人员、设备、资金等方面具备相应的施工能力。拟派的项目经理须具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000000" w:themeColor="text1"/>
                <w:szCs w:val="21"/>
                <w:lang w:eastAsia="zh-CN"/>
                <w14:textFill>
                  <w14:solidFill>
                    <w14:schemeClr w14:val="tx1"/>
                  </w14:solidFill>
                </w14:textFill>
              </w:rPr>
              <w:t>公路工程</w:t>
            </w:r>
            <w:r>
              <w:rPr>
                <w:rFonts w:hint="eastAsia" w:ascii="宋体" w:hAnsi="宋体"/>
                <w:color w:val="000000" w:themeColor="text1"/>
                <w:szCs w:val="21"/>
                <w14:textFill>
                  <w14:solidFill>
                    <w14:schemeClr w14:val="tx1"/>
                  </w14:solidFill>
                </w14:textFill>
              </w:rPr>
              <w:t>专业</w:t>
            </w:r>
            <w:r>
              <w:rPr>
                <w:rFonts w:hint="eastAsia" w:ascii="宋体" w:hAnsi="宋体"/>
                <w:color w:val="000000" w:themeColor="text1"/>
                <w:szCs w:val="21"/>
                <w:lang w:eastAsia="zh-CN"/>
                <w14:textFill>
                  <w14:solidFill>
                    <w14:schemeClr w14:val="tx1"/>
                  </w14:solidFill>
                </w14:textFill>
              </w:rPr>
              <w:t>贰</w:t>
            </w:r>
            <w:r>
              <w:rPr>
                <w:rFonts w:hint="eastAsia" w:ascii="宋体" w:hAnsi="宋体"/>
                <w:color w:val="000000" w:themeColor="text1"/>
                <w:szCs w:val="21"/>
                <w14:textFill>
                  <w14:solidFill>
                    <w14:schemeClr w14:val="tx1"/>
                  </w14:solidFill>
                </w14:textFill>
              </w:rPr>
              <w:t>级(含)以上注册建造师执业资格及有效的安全生产考核合格证书（B类）。</w:t>
            </w:r>
          </w:p>
          <w:p w14:paraId="50D63372">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除磋商文件规定必须提供以外，供应商认为需要提供的其他证明材料；</w:t>
            </w:r>
          </w:p>
          <w:p w14:paraId="6999D35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以上标明“必须提供”的材料属于复印件的，必须加盖供应商</w:t>
            </w:r>
            <w:r>
              <w:rPr>
                <w:rFonts w:hint="eastAsia"/>
                <w:b/>
                <w:color w:val="000000" w:themeColor="text1"/>
                <w14:textFill>
                  <w14:solidFill>
                    <w14:schemeClr w14:val="tx1"/>
                  </w14:solidFill>
                </w14:textFill>
              </w:rPr>
              <w:t>电子签章</w:t>
            </w:r>
            <w:r>
              <w:rPr>
                <w:rFonts w:hint="eastAsia" w:ascii="宋体" w:hAnsi="宋体" w:cs="宋体"/>
                <w:b/>
                <w:color w:val="000000" w:themeColor="text1"/>
                <w:szCs w:val="21"/>
                <w14:textFill>
                  <w14:solidFill>
                    <w14:schemeClr w14:val="tx1"/>
                  </w14:solidFill>
                </w14:textFill>
              </w:rPr>
              <w:t>，否则响应文件按无效处理。</w:t>
            </w:r>
          </w:p>
          <w:p w14:paraId="622D3BD0">
            <w:pPr>
              <w:pStyle w:val="16"/>
              <w:keepNext w:val="0"/>
              <w:keepLines w:val="0"/>
              <w:pageBreakBefore w:val="0"/>
              <w:widowControl w:val="0"/>
              <w:kinsoku/>
              <w:wordWrap/>
              <w:overflowPunct/>
              <w:topLinePunct w:val="0"/>
              <w:autoSpaceDE/>
              <w:autoSpaceDN/>
              <w:bidi w:val="0"/>
              <w:adjustRightInd/>
              <w:spacing w:line="420" w:lineRule="exact"/>
              <w:ind w:firstLine="422" w:firstLineChars="200"/>
              <w:textAlignment w:val="auto"/>
              <w:rPr>
                <w:rFonts w:ascii="宋体" w:cs="宋体"/>
                <w:b/>
                <w:color w:val="000000" w:themeColor="text1"/>
                <w:sz w:val="21"/>
                <w:szCs w:val="21"/>
                <w14:textFill>
                  <w14:solidFill>
                    <w14:schemeClr w14:val="tx1"/>
                  </w14:solidFill>
                </w14:textFill>
              </w:rPr>
            </w:pPr>
            <w:r>
              <w:rPr>
                <w:rFonts w:ascii="宋体" w:hAnsi="宋体" w:cs="宋体"/>
                <w:b/>
                <w:color w:val="000000" w:themeColor="text1"/>
                <w:sz w:val="21"/>
                <w:szCs w:val="21"/>
                <w14:textFill>
                  <w14:solidFill>
                    <w14:schemeClr w14:val="tx1"/>
                  </w14:solidFill>
                </w14:textFill>
              </w:rPr>
              <w:t>2.</w:t>
            </w:r>
            <w:r>
              <w:rPr>
                <w:rFonts w:hint="eastAsia" w:ascii="宋体" w:hAnsi="宋体" w:cs="宋体"/>
                <w:b/>
                <w:color w:val="000000" w:themeColor="text1"/>
                <w:sz w:val="21"/>
                <w:szCs w:val="21"/>
                <w14:textFill>
                  <w14:solidFill>
                    <w14:schemeClr w14:val="tx1"/>
                  </w14:solidFill>
                </w14:textFill>
              </w:rPr>
              <w:t>联合体竞标时，第</w:t>
            </w:r>
            <w:r>
              <w:rPr>
                <w:rFonts w:ascii="宋体" w:hAnsi="宋体" w:cs="宋体"/>
                <w:b/>
                <w:color w:val="000000" w:themeColor="text1"/>
                <w:sz w:val="21"/>
                <w:szCs w:val="21"/>
                <w14:textFill>
                  <w14:solidFill>
                    <w14:schemeClr w14:val="tx1"/>
                  </w14:solidFill>
                </w14:textFill>
              </w:rPr>
              <w:t>1-5</w:t>
            </w:r>
            <w:r>
              <w:rPr>
                <w:rFonts w:hint="eastAsia" w:ascii="宋体" w:hAnsi="宋体" w:cs="宋体"/>
                <w:b/>
                <w:color w:val="000000" w:themeColor="text1"/>
                <w:sz w:val="21"/>
                <w:szCs w:val="21"/>
                <w14:textFill>
                  <w14:solidFill>
                    <w14:schemeClr w14:val="tx1"/>
                  </w14:solidFill>
                </w14:textFill>
              </w:rPr>
              <w:t>项资格证明文件联合体各方均必须分别提供，</w:t>
            </w:r>
            <w:r>
              <w:rPr>
                <w:rFonts w:hint="eastAsia"/>
                <w:b/>
                <w:color w:val="000000" w:themeColor="text1"/>
                <w:sz w:val="21"/>
                <w:szCs w:val="24"/>
                <w14:textFill>
                  <w14:solidFill>
                    <w14:schemeClr w14:val="tx1"/>
                  </w14:solidFill>
                </w14:textFill>
              </w:rPr>
              <w:t>并由</w:t>
            </w:r>
            <w:r>
              <w:rPr>
                <w:rFonts w:hint="eastAsia" w:ascii="宋体" w:hAnsi="宋体" w:cs="宋体"/>
                <w:b/>
                <w:color w:val="000000" w:themeColor="text1"/>
                <w:sz w:val="21"/>
                <w:szCs w:val="21"/>
                <w14:textFill>
                  <w14:solidFill>
                    <w14:schemeClr w14:val="tx1"/>
                  </w14:solidFill>
                </w14:textFill>
              </w:rPr>
              <w:t>联合体</w:t>
            </w:r>
            <w:r>
              <w:rPr>
                <w:rFonts w:hint="eastAsia"/>
                <w:b/>
                <w:color w:val="000000" w:themeColor="text1"/>
                <w:sz w:val="21"/>
                <w:szCs w:val="24"/>
                <w14:textFill>
                  <w14:solidFill>
                    <w14:schemeClr w14:val="tx1"/>
                  </w14:solidFill>
                </w14:textFill>
              </w:rPr>
              <w:t>牵头人加盖电子签章</w:t>
            </w:r>
            <w:r>
              <w:rPr>
                <w:rFonts w:hint="eastAsia" w:ascii="宋体" w:hAnsi="宋体" w:cs="宋体"/>
                <w:b/>
                <w:color w:val="000000" w:themeColor="text1"/>
                <w:sz w:val="21"/>
                <w:szCs w:val="21"/>
                <w14:textFill>
                  <w14:solidFill>
                    <w14:schemeClr w14:val="tx1"/>
                  </w14:solidFill>
                </w14:textFill>
              </w:rPr>
              <w:t>，</w:t>
            </w:r>
            <w:r>
              <w:rPr>
                <w:rFonts w:hint="eastAsia"/>
                <w:b/>
                <w:color w:val="000000" w:themeColor="text1"/>
                <w:sz w:val="21"/>
                <w:szCs w:val="24"/>
                <w14:textFill>
                  <w14:solidFill>
                    <w14:schemeClr w14:val="tx1"/>
                  </w14:solidFill>
                </w14:textFill>
              </w:rPr>
              <w:t>规定签字</w:t>
            </w:r>
            <w:r>
              <w:rPr>
                <w:rFonts w:hint="eastAsia" w:ascii="宋体" w:hAnsi="宋体" w:cs="宋体"/>
                <w:b/>
                <w:color w:val="000000" w:themeColor="text1"/>
                <w:sz w:val="21"/>
                <w:szCs w:val="21"/>
                <w14:textFill>
                  <w14:solidFill>
                    <w14:schemeClr w14:val="tx1"/>
                  </w14:solidFill>
                </w14:textFill>
              </w:rPr>
              <w:t>处签字</w:t>
            </w:r>
            <w:r>
              <w:rPr>
                <w:rFonts w:hint="eastAsia" w:ascii="宋体" w:hAnsi="宋体"/>
                <w:b/>
                <w:bCs/>
                <w:color w:val="000000" w:themeColor="text1"/>
                <w:sz w:val="21"/>
                <w:szCs w:val="21"/>
                <w14:textFill>
                  <w14:solidFill>
                    <w14:schemeClr w14:val="tx1"/>
                  </w14:solidFill>
                </w14:textFill>
              </w:rPr>
              <w:t>（或者电子签名）</w:t>
            </w:r>
            <w:r>
              <w:rPr>
                <w:rFonts w:hint="eastAsia" w:ascii="宋体" w:hAnsi="宋体" w:cs="宋体"/>
                <w:b/>
                <w:color w:val="000000" w:themeColor="text1"/>
                <w:sz w:val="21"/>
                <w:szCs w:val="21"/>
                <w14:textFill>
                  <w14:solidFill>
                    <w14:schemeClr w14:val="tx1"/>
                  </w14:solidFill>
                </w14:textFill>
              </w:rPr>
              <w:t>，否则响应文件按无效处理。</w:t>
            </w:r>
          </w:p>
        </w:tc>
      </w:tr>
      <w:tr w14:paraId="5496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12" w:hRule="atLeast"/>
          <w:jc w:val="center"/>
        </w:trPr>
        <w:tc>
          <w:tcPr>
            <w:tcW w:w="992" w:type="dxa"/>
            <w:vAlign w:val="center"/>
          </w:tcPr>
          <w:p w14:paraId="791BB39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p>
        </w:tc>
        <w:tc>
          <w:tcPr>
            <w:tcW w:w="7912" w:type="dxa"/>
            <w:vAlign w:val="center"/>
          </w:tcPr>
          <w:p w14:paraId="11B69417">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报价文件</w:t>
            </w:r>
          </w:p>
          <w:p w14:paraId="7D9809B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竞标函及竞标函附录（格式后附）；（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8D4154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竞标报价表（格式后附）；（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F09AA4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已标价工程量清单；（</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14EE14E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供应商认为需要提供的其他有关资料。</w:t>
            </w:r>
          </w:p>
        </w:tc>
      </w:tr>
      <w:tr w14:paraId="577A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D618064">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p>
        </w:tc>
        <w:tc>
          <w:tcPr>
            <w:tcW w:w="7912" w:type="dxa"/>
            <w:vAlign w:val="center"/>
          </w:tcPr>
          <w:p w14:paraId="43AC8109">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商务技术文件</w:t>
            </w:r>
          </w:p>
          <w:p w14:paraId="57C71384">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无串通竞标行为的承诺函（格式后附）；（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111C739">
            <w:pPr>
              <w:snapToGrid w:val="0"/>
              <w:spacing w:line="360" w:lineRule="auto"/>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9893FE0">
            <w:pPr>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授权委托书及委托代理人有效身份证正反面复印件（格式后附）；（</w:t>
            </w:r>
            <w:r>
              <w:rPr>
                <w:rFonts w:hint="eastAsia" w:ascii="宋体" w:hAnsi="宋体" w:cs="宋体"/>
                <w:b/>
                <w:color w:val="000000" w:themeColor="text1"/>
                <w:szCs w:val="21"/>
                <w14:textFill>
                  <w14:solidFill>
                    <w14:schemeClr w14:val="tx1"/>
                  </w14:solidFill>
                </w14:textFill>
              </w:rPr>
              <w:t>委托时必须提供，否则响应文件按无效处理</w:t>
            </w:r>
            <w:r>
              <w:rPr>
                <w:rFonts w:hint="eastAsia" w:ascii="宋体" w:hAnsi="宋体" w:cs="宋体"/>
                <w:color w:val="000000" w:themeColor="text1"/>
                <w:szCs w:val="21"/>
                <w14:textFill>
                  <w14:solidFill>
                    <w14:schemeClr w14:val="tx1"/>
                  </w14:solidFill>
                </w14:textFill>
              </w:rPr>
              <w:t>）</w:t>
            </w:r>
          </w:p>
          <w:p w14:paraId="4F01543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磋商保证金提交凭证；（</w:t>
            </w:r>
            <w:r>
              <w:rPr>
                <w:rFonts w:hint="eastAsia"/>
                <w:b/>
                <w:bCs/>
                <w:color w:val="000000" w:themeColor="text1"/>
                <w14:textFill>
                  <w14:solidFill>
                    <w14:schemeClr w14:val="tx1"/>
                  </w14:solidFill>
                </w14:textFill>
              </w:rPr>
              <w:t>如要求提交磋商保证金的则必须提供</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0D2C696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施工组织设计（格式自拟）；（</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825CD4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项目管理机构配备情况表及主要人员简历表（格式后附）；（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ECB01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拟分包项目情况表（格式后附）；（如有）</w:t>
            </w:r>
          </w:p>
          <w:p w14:paraId="3EC024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供应商认为需要提供的其他有关资料。</w:t>
            </w:r>
          </w:p>
          <w:p w14:paraId="37B2C2F8">
            <w:pPr>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注：以上标明“必须提供”的材料属于复印件的，必须加盖供应商电子签章，否则响应文件按无效处理。</w:t>
            </w:r>
          </w:p>
        </w:tc>
      </w:tr>
      <w:tr w14:paraId="469C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97D30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p>
        </w:tc>
        <w:tc>
          <w:tcPr>
            <w:tcW w:w="7912" w:type="dxa"/>
            <w:vAlign w:val="center"/>
          </w:tcPr>
          <w:p w14:paraId="2F4874F0">
            <w:pPr>
              <w:spacing w:line="360" w:lineRule="auto"/>
              <w:contextualSpacing/>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竞标报价应按磋商文件中“竞标报价表”及“已标价工程量清单”格式填写。</w:t>
            </w:r>
          </w:p>
        </w:tc>
      </w:tr>
      <w:tr w14:paraId="363E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A82D6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p>
        </w:tc>
        <w:tc>
          <w:tcPr>
            <w:tcW w:w="7912" w:type="dxa"/>
            <w:vAlign w:val="center"/>
          </w:tcPr>
          <w:p w14:paraId="47F286A4">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竞标报价是履行合同的最终价格，包括了</w:t>
            </w:r>
            <w:r>
              <w:rPr>
                <w:rFonts w:hint="eastAsia" w:ascii="宋体" w:hAnsi="宋体" w:cs="宋体"/>
                <w:color w:val="000000" w:themeColor="text1"/>
                <w:szCs w:val="21"/>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78E5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A8929D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p>
        </w:tc>
        <w:tc>
          <w:tcPr>
            <w:tcW w:w="7912" w:type="dxa"/>
            <w:vAlign w:val="center"/>
          </w:tcPr>
          <w:p w14:paraId="0D0F8F95">
            <w:pPr>
              <w:spacing w:line="360" w:lineRule="auto"/>
              <w:contextualSpacing/>
              <w:jc w:val="left"/>
              <w:rPr>
                <w:rFonts w:ascii="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本工程增值税计税方法：</w:t>
            </w: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cs="宋体"/>
                <w:color w:val="000000" w:themeColor="text1"/>
                <w14:textFill>
                  <w14:solidFill>
                    <w14:schemeClr w14:val="tx1"/>
                  </w14:solidFill>
                </w14:textFill>
              </w:rPr>
              <w:t>一般计税法；□简易计税法</w:t>
            </w:r>
          </w:p>
        </w:tc>
      </w:tr>
      <w:tr w14:paraId="3A61B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5DCC318">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16.2</w:t>
            </w:r>
          </w:p>
        </w:tc>
        <w:tc>
          <w:tcPr>
            <w:tcW w:w="7912" w:type="dxa"/>
            <w:vAlign w:val="center"/>
          </w:tcPr>
          <w:p w14:paraId="7FAF81D4">
            <w:pPr>
              <w:pStyle w:val="12"/>
              <w:widowControl w:val="0"/>
              <w:tabs>
                <w:tab w:val="clear" w:pos="454"/>
              </w:tabs>
              <w:snapToGrid w:val="0"/>
              <w:spacing w:afterLines="0" w:line="360" w:lineRule="auto"/>
              <w:ind w:left="283" w:hanging="283" w:hangingChars="135"/>
              <w:rPr>
                <w:rFonts w:asci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竞标有效期：自首次响应文件提交截止之日起</w:t>
            </w:r>
            <w:r>
              <w:rPr>
                <w:rFonts w:ascii="宋体" w:hAnsi="宋体" w:cs="宋体"/>
                <w:color w:val="000000" w:themeColor="text1"/>
                <w:kern w:val="2"/>
                <w:sz w:val="21"/>
                <w:szCs w:val="21"/>
                <w:u w:val="single"/>
                <w14:textFill>
                  <w14:solidFill>
                    <w14:schemeClr w14:val="tx1"/>
                  </w14:solidFill>
                </w14:textFill>
              </w:rPr>
              <w:t>60</w:t>
            </w:r>
            <w:r>
              <w:rPr>
                <w:rFonts w:hint="eastAsia" w:ascii="宋体" w:hAnsi="宋体" w:cs="宋体"/>
                <w:color w:val="000000" w:themeColor="text1"/>
                <w:kern w:val="2"/>
                <w:sz w:val="21"/>
                <w:szCs w:val="21"/>
                <w14:textFill>
                  <w14:solidFill>
                    <w14:schemeClr w14:val="tx1"/>
                  </w14:solidFill>
                </w14:textFill>
              </w:rPr>
              <w:t>日。</w:t>
            </w:r>
          </w:p>
        </w:tc>
      </w:tr>
      <w:tr w14:paraId="0C25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E9DA1F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p>
        </w:tc>
        <w:tc>
          <w:tcPr>
            <w:tcW w:w="7912" w:type="dxa"/>
            <w:vAlign w:val="center"/>
          </w:tcPr>
          <w:p w14:paraId="35C65F0A">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ascii="宋体" w:hAnsi="宋体"/>
                <w:color w:val="000000" w:themeColor="text1"/>
                <w:szCs w:val="21"/>
                <w14:textFill>
                  <w14:solidFill>
                    <w14:schemeClr w14:val="tx1"/>
                  </w14:solidFill>
                </w14:textFill>
              </w:rPr>
              <w:t>本项目不收取磋商保证金。</w:t>
            </w:r>
          </w:p>
          <w:p w14:paraId="3DBEDF5D">
            <w:pPr>
              <w:snapToGrid w:val="0"/>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□本项目收取磋商保证金，具体规定如下：</w:t>
            </w:r>
          </w:p>
          <w:p w14:paraId="256CC1E2">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磋商保证金人民币</w:t>
            </w:r>
            <w:r>
              <w:rPr>
                <w:rFonts w:ascii="宋体" w:cs="宋体"/>
                <w:color w:val="000000" w:themeColor="text1"/>
                <w:kern w:val="0"/>
                <w:szCs w:val="21"/>
                <w:u w:val="single"/>
                <w14:textFill>
                  <w14:solidFill>
                    <w14:schemeClr w14:val="tx1"/>
                  </w14:solidFill>
                </w14:textFill>
              </w:rPr>
              <w:t>0.00</w:t>
            </w:r>
            <w:r>
              <w:rPr>
                <w:rFonts w:hint="eastAsia" w:ascii="宋体" w:hAnsi="宋体" w:cs="宋体"/>
                <w:color w:val="000000" w:themeColor="text1"/>
                <w:kern w:val="0"/>
                <w:szCs w:val="21"/>
                <w14:textFill>
                  <w14:solidFill>
                    <w14:schemeClr w14:val="tx1"/>
                  </w14:solidFill>
                </w14:textFill>
              </w:rPr>
              <w:t>元。</w:t>
            </w:r>
          </w:p>
          <w:p w14:paraId="4178557E">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b/>
                <w:bCs/>
                <w:color w:val="000000" w:themeColor="text1"/>
                <w:szCs w:val="21"/>
                <w14:textFill>
                  <w14:solidFill>
                    <w14:schemeClr w14:val="tx1"/>
                  </w14:solidFill>
                </w14:textFill>
              </w:rPr>
              <w:t>开户名称：</w:t>
            </w:r>
            <w:r>
              <w:rPr>
                <w:rFonts w:hint="eastAsia" w:ascii="宋体" w:hAnsi="宋体"/>
                <w:b/>
                <w:bCs/>
                <w:color w:val="000000" w:themeColor="text1"/>
                <w:szCs w:val="21"/>
                <w:lang w:eastAsia="zh-CN"/>
                <w14:textFill>
                  <w14:solidFill>
                    <w14:schemeClr w14:val="tx1"/>
                  </w14:solidFill>
                </w14:textFill>
              </w:rPr>
              <w:t>广西坤珍建设项目管理咨询有限公司</w:t>
            </w:r>
            <w:r>
              <w:rPr>
                <w:rFonts w:hint="eastAsia" w:ascii="宋体" w:hAnsi="宋体"/>
                <w:b/>
                <w:bCs/>
                <w:color w:val="000000" w:themeColor="text1"/>
                <w:szCs w:val="21"/>
                <w14:textFill>
                  <w14:solidFill>
                    <w14:schemeClr w14:val="tx1"/>
                  </w14:solidFill>
                </w14:textFill>
              </w:rPr>
              <w:t>，开户银行：</w:t>
            </w:r>
            <w:r>
              <w:rPr>
                <w:rFonts w:hint="eastAsia" w:ascii="宋体" w:hAnsi="宋体"/>
                <w:b/>
                <w:bCs/>
                <w:color w:val="000000" w:themeColor="text1"/>
                <w:szCs w:val="21"/>
                <w:lang w:eastAsia="zh-CN"/>
                <w14:textFill>
                  <w14:solidFill>
                    <w14:schemeClr w14:val="tx1"/>
                  </w14:solidFill>
                </w14:textFill>
              </w:rPr>
              <w:t>广西崇左桂南农村商业银行股份有限公司城南分理处</w:t>
            </w:r>
            <w:r>
              <w:rPr>
                <w:rFonts w:hint="eastAsia" w:ascii="宋体" w:hAnsi="宋体"/>
                <w:b/>
                <w:bCs/>
                <w:color w:val="000000" w:themeColor="text1"/>
                <w:szCs w:val="21"/>
                <w14:textFill>
                  <w14:solidFill>
                    <w14:schemeClr w14:val="tx1"/>
                  </w14:solidFill>
                </w14:textFill>
              </w:rPr>
              <w:t>，银行账号：</w:t>
            </w:r>
            <w:r>
              <w:rPr>
                <w:rFonts w:hint="eastAsia" w:ascii="宋体" w:hAnsi="宋体"/>
                <w:b/>
                <w:bCs/>
                <w:color w:val="000000" w:themeColor="text1"/>
                <w:szCs w:val="21"/>
                <w:lang w:val="en-US" w:eastAsia="zh-CN"/>
                <w14:textFill>
                  <w14:solidFill>
                    <w14:schemeClr w14:val="tx1"/>
                  </w14:solidFill>
                </w14:textFill>
              </w:rPr>
              <w:t>146512010105163692</w:t>
            </w:r>
            <w:r>
              <w:rPr>
                <w:rFonts w:hint="eastAsia" w:ascii="宋体" w:hAnsi="宋体" w:cs="宋体"/>
                <w:color w:val="000000" w:themeColor="text1"/>
                <w:kern w:val="0"/>
                <w:szCs w:val="21"/>
                <w14:textFill>
                  <w14:solidFill>
                    <w14:schemeClr w14:val="tx1"/>
                  </w14:solidFill>
                </w14:textFill>
              </w:rPr>
              <w:t>】；采用支票、汇票、本票或者保函等方式的，在响应文件提交截止时间前，供应商必须提交单独密封的支票、汇票、本票或者保函原件。</w:t>
            </w:r>
            <w:r>
              <w:rPr>
                <w:rFonts w:hint="eastAsia" w:ascii="宋体" w:hAnsi="宋体" w:cs="宋体"/>
                <w:b/>
                <w:color w:val="000000" w:themeColor="text1"/>
                <w:kern w:val="0"/>
                <w:szCs w:val="21"/>
                <w14:textFill>
                  <w14:solidFill>
                    <w14:schemeClr w14:val="tx1"/>
                  </w14:solidFill>
                </w14:textFill>
              </w:rPr>
              <w:t>否则视为无效磋商保证金。</w:t>
            </w:r>
          </w:p>
          <w:p w14:paraId="65BDD631">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相关要求：</w:t>
            </w:r>
          </w:p>
          <w:p w14:paraId="0868B75F">
            <w:pPr>
              <w:snapToGrid w:val="0"/>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11576457">
            <w:pPr>
              <w:snapToGrid w:val="0"/>
              <w:spacing w:line="360" w:lineRule="auto"/>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磋商保证金采用支票、汇票、本票或者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交纳方式的，供应商应将支票、汇票、本票或者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的复印件作为磋商保证金提交凭证，放置于</w:t>
            </w:r>
            <w:r>
              <w:rPr>
                <w:rFonts w:hint="eastAsia" w:ascii="宋体" w:hAnsi="宋体" w:cs="宋体"/>
                <w:color w:val="000000" w:themeColor="text1"/>
                <w:szCs w:val="21"/>
                <w14:textFill>
                  <w14:solidFill>
                    <w14:schemeClr w14:val="tx1"/>
                  </w14:solidFill>
                </w14:textFill>
              </w:rPr>
              <w:t>商务技术文件</w:t>
            </w:r>
            <w:r>
              <w:rPr>
                <w:rFonts w:hint="eastAsia" w:ascii="宋体" w:hAnsi="宋体"/>
                <w:color w:val="000000" w:themeColor="text1"/>
                <w:szCs w:val="21"/>
                <w14:textFill>
                  <w14:solidFill>
                    <w14:schemeClr w14:val="tx1"/>
                  </w14:solidFill>
                </w14:textFill>
              </w:rPr>
              <w:t>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olor w:val="000000" w:themeColor="text1"/>
                <w:szCs w:val="21"/>
                <w14:textFill>
                  <w14:solidFill>
                    <w14:schemeClr w14:val="tx1"/>
                  </w14:solidFill>
                </w14:textFill>
              </w:rPr>
              <w:t>。供应商必须</w:t>
            </w:r>
            <w:r>
              <w:rPr>
                <w:rFonts w:hint="eastAsia"/>
                <w:color w:val="000000" w:themeColor="text1"/>
                <w14:textFill>
                  <w14:solidFill>
                    <w14:schemeClr w14:val="tx1"/>
                  </w14:solidFill>
                </w14:textFill>
              </w:rPr>
              <w:t>在响应文件提交截止时间前采用现场或邮寄方式</w:t>
            </w:r>
            <w:r>
              <w:rPr>
                <w:rFonts w:hint="eastAsia"/>
                <w:color w:val="auto"/>
              </w:rPr>
              <w:t>（现场提交地址：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；邮寄地址：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，收件人：</w:t>
            </w:r>
            <w:r>
              <w:rPr>
                <w:rFonts w:hint="eastAsia"/>
                <w:color w:val="auto"/>
                <w:u w:val="single"/>
                <w:lang w:eastAsia="zh-CN"/>
              </w:rPr>
              <w:t>叶工</w:t>
            </w:r>
            <w:r>
              <w:rPr>
                <w:rFonts w:hint="eastAsia"/>
                <w:color w:val="auto"/>
              </w:rPr>
              <w:t>，联系方式：</w:t>
            </w:r>
            <w:r>
              <w:rPr>
                <w:color w:val="auto"/>
                <w:u w:val="single"/>
              </w:rPr>
              <w:t>0771-</w:t>
            </w:r>
            <w:r>
              <w:rPr>
                <w:rFonts w:hint="eastAsia"/>
                <w:color w:val="auto"/>
                <w:u w:val="single"/>
                <w:lang w:val="en-US" w:eastAsia="zh-CN"/>
              </w:rPr>
              <w:t>7945829</w:t>
            </w:r>
            <w:r>
              <w:rPr>
                <w:rFonts w:hint="eastAsia"/>
                <w:color w:val="auto"/>
              </w:rPr>
              <w:t>）</w:t>
            </w:r>
            <w:r>
              <w:rPr>
                <w:rFonts w:hint="eastAsia" w:ascii="宋体" w:hAnsi="宋体"/>
                <w:color w:val="000000" w:themeColor="text1"/>
                <w:szCs w:val="21"/>
                <w14:textFill>
                  <w14:solidFill>
                    <w14:schemeClr w14:val="tx1"/>
                  </w14:solidFill>
                </w14:textFill>
              </w:rPr>
              <w:t>将</w:t>
            </w:r>
            <w:r>
              <w:rPr>
                <w:rFonts w:hint="eastAsia" w:ascii="宋体" w:hAnsi="宋体" w:cs="宋体"/>
                <w:color w:val="000000" w:themeColor="text1"/>
                <w:kern w:val="0"/>
                <w:szCs w:val="21"/>
                <w14:textFill>
                  <w14:solidFill>
                    <w14:schemeClr w14:val="tx1"/>
                  </w14:solidFill>
                </w14:textFill>
              </w:rPr>
              <w:t>单独密封的</w:t>
            </w:r>
            <w:r>
              <w:rPr>
                <w:rFonts w:hint="eastAsia" w:ascii="宋体" w:hAnsi="宋体"/>
                <w:color w:val="000000" w:themeColor="text1"/>
                <w:szCs w:val="21"/>
                <w14:textFill>
                  <w14:solidFill>
                    <w14:schemeClr w14:val="tx1"/>
                  </w14:solidFill>
                </w14:textFill>
              </w:rPr>
              <w:t>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原件提交给采购人或者采购代理机构，由采购人或者采购代理机构向供应商出具回执（邮寄方式的除外），并妥善保管。</w:t>
            </w:r>
          </w:p>
          <w:p w14:paraId="5DC851DE">
            <w:pPr>
              <w:snapToGrid w:val="0"/>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F682A07">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备注：</w:t>
            </w:r>
          </w:p>
          <w:p w14:paraId="5E262561">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磋商保证金在响应文件提交截止时间后提交的，或者不按规定交纳方式交纳的，或者未足额交纳的（包含保函额度不足的），视为无效磋商保证金。</w:t>
            </w:r>
          </w:p>
          <w:p w14:paraId="00DE6DD0">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供应商采用现钞方式或者从个人账户转出的磋商保证金，视为无效磋商保证金。</w:t>
            </w:r>
          </w:p>
          <w:p w14:paraId="6065B708">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支票、汇票或者本票出现无效或者背书情形的，视为无效磋商保证金。</w:t>
            </w:r>
          </w:p>
          <w:p w14:paraId="0DFA8895">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保函有效期低于竞标有效期的，视为无效磋商保证金。</w:t>
            </w:r>
          </w:p>
          <w:p w14:paraId="3D0884C3">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采用金融机构、担保机构出具的保函的，必须为无条件保函，否则视为无效磋商保证金。</w:t>
            </w:r>
          </w:p>
          <w:p w14:paraId="3AE93537">
            <w:pPr>
              <w:snapToGrid w:val="0"/>
              <w:spacing w:line="360" w:lineRule="auto"/>
              <w:rPr>
                <w:rFonts w:ascii="宋体" w:cs="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6</w:t>
            </w:r>
            <w:r>
              <w:rPr>
                <w:rFonts w:asci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政采云平台暂未支持电子保函功能，故本项目暂不接受电子保函形式的保证金。</w:t>
            </w:r>
          </w:p>
        </w:tc>
      </w:tr>
      <w:tr w14:paraId="00E8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624B57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19</w:t>
            </w:r>
          </w:p>
        </w:tc>
        <w:tc>
          <w:tcPr>
            <w:tcW w:w="7912" w:type="dxa"/>
            <w:vAlign w:val="center"/>
          </w:tcPr>
          <w:p w14:paraId="64ADFBC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本项目不接受</w:t>
            </w:r>
            <w:r>
              <w:rPr>
                <w:rFonts w:hint="eastAsia"/>
                <w:color w:val="000000" w:themeColor="text1"/>
                <w14:textFill>
                  <w14:solidFill>
                    <w14:schemeClr w14:val="tx1"/>
                  </w14:solidFill>
                </w14:textFill>
              </w:rPr>
              <w:t>电子</w:t>
            </w:r>
            <w:r>
              <w:rPr>
                <w:rFonts w:hint="eastAsia" w:ascii="宋体" w:hAnsi="宋体"/>
                <w:color w:val="000000" w:themeColor="text1"/>
                <w:szCs w:val="21"/>
                <w14:textFill>
                  <w14:solidFill>
                    <w14:schemeClr w14:val="tx1"/>
                  </w14:solidFill>
                </w14:textFill>
              </w:rPr>
              <w:t>备份响应文件</w:t>
            </w:r>
          </w:p>
        </w:tc>
      </w:tr>
      <w:tr w14:paraId="7F96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8C9170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20.1</w:t>
            </w:r>
          </w:p>
        </w:tc>
        <w:tc>
          <w:tcPr>
            <w:tcW w:w="7912" w:type="dxa"/>
            <w:vAlign w:val="center"/>
          </w:tcPr>
          <w:p w14:paraId="575C15C5">
            <w:pPr>
              <w:spacing w:line="360" w:lineRule="auto"/>
              <w:contextualSpacing/>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响应文件提交截止时间：详见竞争性磋商公告</w:t>
            </w:r>
          </w:p>
          <w:p w14:paraId="4122E46B">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响应文件提交地点：详见竞争性磋商公告</w:t>
            </w:r>
          </w:p>
        </w:tc>
      </w:tr>
      <w:tr w14:paraId="1C345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97FFA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p>
        </w:tc>
        <w:tc>
          <w:tcPr>
            <w:tcW w:w="7912" w:type="dxa"/>
            <w:vAlign w:val="center"/>
          </w:tcPr>
          <w:p w14:paraId="48070F26">
            <w:pPr>
              <w:snapToGrid w:val="0"/>
              <w:spacing w:line="360" w:lineRule="auto"/>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磋商小组的人数：</w:t>
            </w:r>
            <w:r>
              <w:rPr>
                <w:rFonts w:ascii="宋体" w:hAnsi="宋体" w:cs="宋体"/>
                <w:color w:val="000000" w:themeColor="text1"/>
                <w:szCs w:val="21"/>
                <w:u w:val="single"/>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w:t>
            </w:r>
          </w:p>
        </w:tc>
      </w:tr>
      <w:tr w14:paraId="068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49D42E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p>
        </w:tc>
        <w:tc>
          <w:tcPr>
            <w:tcW w:w="7912" w:type="dxa"/>
            <w:vAlign w:val="center"/>
          </w:tcPr>
          <w:p w14:paraId="42F4A572">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首次响应文件开启时间详见“竞争性磋商公告”</w:t>
            </w:r>
          </w:p>
          <w:p w14:paraId="4B318385">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首次响应文件解密时间：</w:t>
            </w:r>
            <w:r>
              <w:rPr>
                <w:rFonts w:hAnsi="宋体"/>
                <w:color w:val="000000" w:themeColor="text1"/>
                <w:u w:val="single"/>
                <w14:textFill>
                  <w14:solidFill>
                    <w14:schemeClr w14:val="tx1"/>
                  </w14:solidFill>
                </w14:textFill>
              </w:rPr>
              <w:t>30</w:t>
            </w:r>
            <w:r>
              <w:rPr>
                <w:rFonts w:hint="eastAsia" w:hAnsi="宋体"/>
                <w:color w:val="000000" w:themeColor="text1"/>
                <w14:textFill>
                  <w14:solidFill>
                    <w14:schemeClr w14:val="tx1"/>
                  </w14:solidFill>
                </w14:textFill>
              </w:rPr>
              <w:t>分钟</w:t>
            </w:r>
          </w:p>
        </w:tc>
      </w:tr>
      <w:tr w14:paraId="6D12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4BF7BCF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26.3</w:t>
            </w:r>
          </w:p>
        </w:tc>
        <w:tc>
          <w:tcPr>
            <w:tcW w:w="7912" w:type="dxa"/>
            <w:vAlign w:val="center"/>
          </w:tcPr>
          <w:p w14:paraId="48EAC3AA">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商务要求评审中允许负偏离的条款数为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p w14:paraId="3C7F4E57">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tc>
      </w:tr>
      <w:tr w14:paraId="16A0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094B8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p>
        </w:tc>
        <w:tc>
          <w:tcPr>
            <w:tcW w:w="7912" w:type="dxa"/>
            <w:vAlign w:val="center"/>
          </w:tcPr>
          <w:p w14:paraId="17E4123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MS Mincho" w:eastAsia="MS Mincho" w:cs="MS Mincho"/>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本项目不收取履约保证金。</w:t>
            </w:r>
          </w:p>
          <w:p w14:paraId="0161A352">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□本项目收取履约保证金，具体规定如下：</w:t>
            </w:r>
          </w:p>
          <w:p w14:paraId="303379F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履约保证金金额：每分标按成交金额的</w:t>
            </w:r>
            <w:r>
              <w:rPr>
                <w:rFonts w:ascii="宋体" w:cs="宋体"/>
                <w:color w:val="000000" w:themeColor="text1"/>
                <w:szCs w:val="21"/>
                <w:u w:val="single"/>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（注：履约保证金不超过</w:t>
            </w:r>
            <w:r>
              <w:rPr>
                <w:rFonts w:hint="eastAsia"/>
                <w:color w:val="000000" w:themeColor="text1"/>
                <w14:textFill>
                  <w14:solidFill>
                    <w14:schemeClr w14:val="tx1"/>
                  </w14:solidFill>
                </w14:textFill>
              </w:rPr>
              <w:t>政府采购合同金额的</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w:t>
            </w:r>
          </w:p>
          <w:p w14:paraId="65147D2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履约保证金提交方式：银行转账、支票、汇票、本票或者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color w:val="000000" w:themeColor="text1"/>
                <w:szCs w:val="21"/>
                <w14:textFill>
                  <w14:solidFill>
                    <w14:schemeClr w14:val="tx1"/>
                  </w14:solidFill>
                </w14:textFill>
              </w:rPr>
              <w:t>等非现金方式（参照竞标保证金）。</w:t>
            </w:r>
          </w:p>
          <w:p w14:paraId="70BD3E18">
            <w:pPr>
              <w:spacing w:line="360" w:lineRule="auto"/>
              <w:contextualSpacing/>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履约保证金退付方式、时间及条件：</w:t>
            </w:r>
            <w:r>
              <w:rPr>
                <w:rFonts w:hint="eastAsia" w:ascii="宋体" w:hAnsi="宋体" w:cs="宋体"/>
                <w:color w:val="000000" w:themeColor="text1"/>
                <w:szCs w:val="21"/>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Cs w:val="21"/>
                <w:u w:val="single"/>
                <w14:textFill>
                  <w14:solidFill>
                    <w14:schemeClr w14:val="tx1"/>
                  </w14:solidFill>
                </w14:textFill>
              </w:rPr>
              <w:t>2015</w:t>
            </w:r>
            <w:r>
              <w:rPr>
                <w:rFonts w:hint="eastAsia" w:ascii="宋体" w:hAnsi="宋体" w:cs="宋体"/>
                <w:color w:val="000000" w:themeColor="text1"/>
                <w:szCs w:val="21"/>
                <w:u w:val="single"/>
                <w14:textFill>
                  <w14:solidFill>
                    <w14:schemeClr w14:val="tx1"/>
                  </w14:solidFill>
                </w14:textFill>
              </w:rPr>
              <w:t>〕</w:t>
            </w:r>
            <w:r>
              <w:rPr>
                <w:rFonts w:ascii="宋体" w:hAnsi="宋体" w:cs="宋体"/>
                <w:color w:val="000000" w:themeColor="text1"/>
                <w:szCs w:val="21"/>
                <w:u w:val="single"/>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号），保证金收取单位在收到合格材料后</w:t>
            </w:r>
            <w:r>
              <w:rPr>
                <w:rFonts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u w:val="single"/>
                <w14:textFill>
                  <w14:solidFill>
                    <w14:schemeClr w14:val="tx1"/>
                  </w14:solidFill>
                </w14:textFill>
              </w:rPr>
              <w:t>个工作日内办理退还手续（不计利息）</w:t>
            </w:r>
            <w:r>
              <w:rPr>
                <w:rFonts w:hint="eastAsia" w:ascii="宋体" w:hAnsi="宋体" w:cs="宋体"/>
                <w:color w:val="000000" w:themeColor="text1"/>
                <w:szCs w:val="21"/>
                <w14:textFill>
                  <w14:solidFill>
                    <w14:schemeClr w14:val="tx1"/>
                  </w14:solidFill>
                </w14:textFill>
              </w:rPr>
              <w:t>。</w:t>
            </w:r>
          </w:p>
          <w:p w14:paraId="08CC6458">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履约保证金指定账户：</w:t>
            </w:r>
          </w:p>
          <w:p w14:paraId="3779E261">
            <w:pPr>
              <w:snapToGrid w:val="0"/>
              <w:spacing w:line="360" w:lineRule="auto"/>
              <w:rPr>
                <w:rFonts w:ascii="新宋体" w:hAnsi="新宋体" w:eastAsia="新宋体" w:cs="新宋体"/>
                <w:b/>
                <w:bCs/>
                <w:color w:val="000000" w:themeColor="text1"/>
                <w:sz w:val="24"/>
                <w:u w:val="single"/>
                <w14:textFill>
                  <w14:solidFill>
                    <w14:schemeClr w14:val="tx1"/>
                  </w14:solidFill>
                </w14:textFill>
              </w:rPr>
            </w:pPr>
          </w:p>
          <w:p w14:paraId="73001BCE">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p w14:paraId="5DC8B765">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asci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Cs w:val="21"/>
                <w14:textFill>
                  <w14:solidFill>
                    <w14:schemeClr w14:val="tx1"/>
                  </w14:solidFill>
                </w14:textFill>
              </w:rPr>
              <w:t>2020</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49</w:t>
            </w:r>
            <w:r>
              <w:rPr>
                <w:rFonts w:hint="eastAsia" w:ascii="宋体" w:hAnsi="宋体"/>
                <w:b/>
                <w:color w:val="000000" w:themeColor="text1"/>
                <w:szCs w:val="21"/>
                <w14:textFill>
                  <w14:solidFill>
                    <w14:schemeClr w14:val="tx1"/>
                  </w14:solidFill>
                </w14:textFill>
              </w:rPr>
              <w:t>号）规定及桂财采〔</w:t>
            </w:r>
            <w:r>
              <w:rPr>
                <w:rFonts w:ascii="宋体" w:hAnsi="宋体"/>
                <w:b/>
                <w:color w:val="000000" w:themeColor="text1"/>
                <w:szCs w:val="21"/>
                <w14:textFill>
                  <w14:solidFill>
                    <w14:schemeClr w14:val="tx1"/>
                  </w14:solidFill>
                </w14:textFill>
              </w:rPr>
              <w:t>2022</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，对中小企业收取的履约保证金数额不得超过政府采购合同金额的</w:t>
            </w:r>
            <w:r>
              <w:rPr>
                <w:rFonts w:ascii="宋体" w:hAnsi="宋体"/>
                <w:b/>
                <w:color w:val="000000" w:themeColor="text1"/>
                <w:szCs w:val="21"/>
                <w14:textFill>
                  <w14:solidFill>
                    <w14:schemeClr w14:val="tx1"/>
                  </w14:solidFill>
                </w14:textFill>
              </w:rPr>
              <w:t>2%</w:t>
            </w:r>
            <w:r>
              <w:rPr>
                <w:rFonts w:hint="eastAsia" w:ascii="宋体" w:hAnsi="宋体"/>
                <w:b/>
                <w:color w:val="000000" w:themeColor="text1"/>
                <w:szCs w:val="21"/>
                <w14:textFill>
                  <w14:solidFill>
                    <w14:schemeClr w14:val="tx1"/>
                  </w14:solidFill>
                </w14:textFill>
              </w:rPr>
              <w:t>。采购人可根据供应商的资信等情况减免履约保证金。</w:t>
            </w:r>
          </w:p>
          <w:p w14:paraId="30E5E86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履约保证金不足额缴纳的，或者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额度不足的或者保函有效期低于合同履行期限（即签订采购合同之日起至履行完合同约定的权利及义务之日止）的，不予签订合同。</w:t>
            </w:r>
          </w:p>
          <w:p w14:paraId="3873D5E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采用</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的，必须为无条件保函，否则不予签订合同。</w:t>
            </w:r>
          </w:p>
          <w:p w14:paraId="05B3390F">
            <w:pPr>
              <w:spacing w:line="360" w:lineRule="auto"/>
              <w:contextualSpacing/>
              <w:rPr>
                <w:rFonts w:ascii="宋体" w:cs="宋体"/>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供应商为联合体的，由联合体任意一方按规定提交的履约保证金，视为有效履约保证金。</w:t>
            </w:r>
          </w:p>
        </w:tc>
      </w:tr>
      <w:tr w14:paraId="4B51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BEB7CA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p>
        </w:tc>
        <w:tc>
          <w:tcPr>
            <w:tcW w:w="7912" w:type="dxa"/>
            <w:vAlign w:val="center"/>
          </w:tcPr>
          <w:p w14:paraId="66256337">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签订合同携带的证明材料：</w:t>
            </w:r>
          </w:p>
          <w:p w14:paraId="573AAE38">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委托代理人负责签订合同的，须携带授权委托书及委托代理人身份证原件等其他资格证件。</w:t>
            </w:r>
          </w:p>
          <w:p w14:paraId="0D98624C">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法定代表人负责签订合同的，须携带法定代表人身份证明原件及身份证原件等其他证明材料。</w:t>
            </w:r>
          </w:p>
        </w:tc>
      </w:tr>
      <w:tr w14:paraId="79C19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B4C684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p>
        </w:tc>
        <w:tc>
          <w:tcPr>
            <w:tcW w:w="7912" w:type="dxa"/>
            <w:vAlign w:val="center"/>
          </w:tcPr>
          <w:p w14:paraId="00287775">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接收质疑函方式：书面形式或者政采云系统在线形式</w:t>
            </w:r>
          </w:p>
          <w:p w14:paraId="77CA576F">
            <w:pPr>
              <w:pStyle w:val="26"/>
              <w:snapToGrid w:val="0"/>
              <w:spacing w:line="360" w:lineRule="auto"/>
              <w:rPr>
                <w:rFonts w:hAnsi="宋体" w:cs="宋体"/>
                <w:color w:val="000000" w:themeColor="text1"/>
                <w:kern w:val="2"/>
                <w:szCs w:val="21"/>
                <w14:textFill>
                  <w14:solidFill>
                    <w14:schemeClr w14:val="tx1"/>
                  </w14:solidFill>
                </w14:textFill>
              </w:rPr>
            </w:pPr>
            <w:r>
              <w:rPr>
                <w:rFonts w:hint="eastAsia" w:hAnsi="宋体" w:cs="宋体"/>
                <w:color w:val="000000" w:themeColor="text1"/>
                <w:kern w:val="2"/>
                <w:szCs w:val="21"/>
                <w14:textFill>
                  <w14:solidFill>
                    <w14:schemeClr w14:val="tx1"/>
                  </w14:solidFill>
                </w14:textFill>
              </w:rPr>
              <w:t>质疑联系部门及联系方式：</w:t>
            </w:r>
            <w:r>
              <w:rPr>
                <w:rFonts w:hint="eastAsia" w:hAnsi="宋体" w:cs="Courier New"/>
                <w:color w:val="000000" w:themeColor="text1"/>
                <w:kern w:val="2"/>
                <w:szCs w:val="21"/>
                <w:lang w:eastAsia="zh-CN"/>
                <w14:textFill>
                  <w14:solidFill>
                    <w14:schemeClr w14:val="tx1"/>
                  </w14:solidFill>
                </w14:textFill>
              </w:rPr>
              <w:t>广西坤珍建设项目管理咨询有限公司</w:t>
            </w:r>
            <w:r>
              <w:rPr>
                <w:rFonts w:hint="eastAsia" w:hAnsi="宋体" w:cs="Courier New"/>
                <w:color w:val="000000" w:themeColor="text1"/>
                <w:kern w:val="2"/>
                <w:szCs w:val="21"/>
                <w14:textFill>
                  <w14:solidFill>
                    <w14:schemeClr w14:val="tx1"/>
                  </w14:solidFill>
                </w14:textFill>
              </w:rPr>
              <w:t>，联系电话：</w:t>
            </w:r>
            <w:r>
              <w:rPr>
                <w:rFonts w:hAnsi="宋体" w:cs="Courier New"/>
                <w:color w:val="000000" w:themeColor="text1"/>
                <w:kern w:val="2"/>
                <w:szCs w:val="21"/>
                <w:u w:val="single"/>
                <w14:textFill>
                  <w14:solidFill>
                    <w14:schemeClr w14:val="tx1"/>
                  </w14:solidFill>
                </w14:textFill>
              </w:rPr>
              <w:t>0771-</w:t>
            </w:r>
            <w:r>
              <w:rPr>
                <w:rFonts w:hint="eastAsia" w:hAnsi="宋体" w:cs="Courier New"/>
                <w:color w:val="000000" w:themeColor="text1"/>
                <w:kern w:val="2"/>
                <w:szCs w:val="21"/>
                <w:u w:val="single"/>
                <w:lang w:val="en-US" w:eastAsia="zh-CN"/>
                <w14:textFill>
                  <w14:solidFill>
                    <w14:schemeClr w14:val="tx1"/>
                  </w14:solidFill>
                </w14:textFill>
              </w:rPr>
              <w:t>7945829</w:t>
            </w:r>
            <w:r>
              <w:rPr>
                <w:rFonts w:hint="eastAsia" w:hAnsi="宋体" w:cs="Courier New"/>
                <w:color w:val="000000" w:themeColor="text1"/>
                <w:kern w:val="2"/>
                <w:szCs w:val="21"/>
                <w14:textFill>
                  <w14:solidFill>
                    <w14:schemeClr w14:val="tx1"/>
                  </w14:solidFill>
                </w14:textFill>
              </w:rPr>
              <w:t>，通讯地址：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hAnsi="宋体"/>
                <w:bCs/>
                <w:color w:val="0000FF"/>
                <w:szCs w:val="21"/>
              </w:rPr>
              <w:t>。</w:t>
            </w:r>
          </w:p>
          <w:p w14:paraId="78718C4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hAnsi="宋体" w:cs="宋体"/>
                <w:color w:val="000000" w:themeColor="text1"/>
                <w:kern w:val="0"/>
                <w14:textFill>
                  <w14:solidFill>
                    <w14:schemeClr w14:val="tx1"/>
                  </w14:solidFill>
                </w14:textFill>
              </w:rPr>
              <w:t>业</w:t>
            </w:r>
            <w:r>
              <w:rPr>
                <w:rFonts w:hint="eastAsia" w:ascii="宋体" w:hAnsi="宋体" w:cs="宋体"/>
                <w:color w:val="000000" w:themeColor="text1"/>
                <w:kern w:val="0"/>
                <w14:textFill>
                  <w14:solidFill>
                    <w14:schemeClr w14:val="tx1"/>
                  </w14:solidFill>
                </w14:textFill>
              </w:rPr>
              <w:t>务时间：工作日每天上午</w:t>
            </w:r>
            <w:r>
              <w:rPr>
                <w:rFonts w:ascii="宋体" w:hAnsi="宋体" w:cs="宋体"/>
                <w:color w:val="000000" w:themeColor="text1"/>
                <w:kern w:val="0"/>
                <w14:textFill>
                  <w14:solidFill>
                    <w14:schemeClr w14:val="tx1"/>
                  </w14:solidFill>
                </w14:textFill>
              </w:rPr>
              <w:t>8</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分，下午</w:t>
            </w:r>
            <w:r>
              <w:rPr>
                <w:rFonts w:ascii="宋体" w:hAnsi="宋体" w:cs="宋体"/>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6</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w:t>
            </w:r>
          </w:p>
        </w:tc>
      </w:tr>
      <w:tr w14:paraId="6BF31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F75FBA9">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p>
        </w:tc>
        <w:tc>
          <w:tcPr>
            <w:tcW w:w="7912" w:type="dxa"/>
            <w:vAlign w:val="center"/>
          </w:tcPr>
          <w:p w14:paraId="4473CA37">
            <w:pPr>
              <w:pStyle w:val="26"/>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采购代理费支付方式：</w:t>
            </w:r>
          </w:p>
          <w:p w14:paraId="4D19903E">
            <w:pPr>
              <w:pStyle w:val="26"/>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本项目代理服务费由</w:t>
            </w:r>
            <w:r>
              <w:rPr>
                <w:rFonts w:hint="eastAsia" w:hAnsi="宋体" w:cs="宋体"/>
                <w:color w:val="000000" w:themeColor="text1"/>
                <w:szCs w:val="21"/>
                <w:u w:val="single"/>
                <w14:textFill>
                  <w14:solidFill>
                    <w14:schemeClr w14:val="tx1"/>
                  </w14:solidFill>
                </w14:textFill>
              </w:rPr>
              <w:t>成交供应商</w:t>
            </w:r>
            <w:r>
              <w:rPr>
                <w:rFonts w:hint="eastAsia" w:hAnsi="宋体" w:cs="宋体"/>
                <w:color w:val="000000" w:themeColor="text1"/>
                <w:szCs w:val="21"/>
                <w14:textFill>
                  <w14:solidFill>
                    <w14:schemeClr w14:val="tx1"/>
                  </w14:solidFill>
                </w14:textFill>
              </w:rPr>
              <w:t>在领取成交通知书前，一次性向采购代理机构支付。</w:t>
            </w:r>
          </w:p>
          <w:p w14:paraId="6ED6BB64">
            <w:pPr>
              <w:pStyle w:val="26"/>
              <w:snapToGrid w:val="0"/>
              <w:spacing w:line="360" w:lineRule="auto"/>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□采购人支付。</w:t>
            </w:r>
          </w:p>
          <w:p w14:paraId="58E4E461">
            <w:pPr>
              <w:pStyle w:val="26"/>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2.</w:t>
            </w:r>
            <w:r>
              <w:rPr>
                <w:rFonts w:hint="eastAsia" w:hAnsi="宋体" w:cs="宋体"/>
                <w:color w:val="000000" w:themeColor="text1"/>
                <w:szCs w:val="21"/>
                <w14:textFill>
                  <w14:solidFill>
                    <w14:schemeClr w14:val="tx1"/>
                  </w14:solidFill>
                </w14:textFill>
              </w:rPr>
              <w:t>采购代理费收取标准：</w:t>
            </w:r>
          </w:p>
          <w:p w14:paraId="05F5DC4B">
            <w:pPr>
              <w:pStyle w:val="26"/>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以分标（</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□采购预算</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□暂定成交金额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□其他）为计费额，按本须知正文第</w:t>
            </w:r>
            <w:r>
              <w:rPr>
                <w:rFonts w:hAnsi="宋体" w:cs="宋体"/>
                <w:color w:val="000000" w:themeColor="text1"/>
                <w:szCs w:val="21"/>
                <w14:textFill>
                  <w14:solidFill>
                    <w14:schemeClr w14:val="tx1"/>
                  </w14:solidFill>
                </w14:textFill>
              </w:rPr>
              <w:t>32.2</w:t>
            </w:r>
            <w:r>
              <w:rPr>
                <w:rFonts w:hint="eastAsia" w:hAnsi="宋体" w:cs="宋体"/>
                <w:color w:val="000000" w:themeColor="text1"/>
                <w:szCs w:val="21"/>
                <w14:textFill>
                  <w14:solidFill>
                    <w14:schemeClr w14:val="tx1"/>
                  </w14:solidFill>
                </w14:textFill>
              </w:rPr>
              <w:t>条规定的（□货物类</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□服务类</w:t>
            </w:r>
            <w:r>
              <w:rPr>
                <w:rFonts w:hAnsi="宋体" w:cs="宋体"/>
                <w:color w:val="000000" w:themeColor="text1"/>
                <w:szCs w:val="21"/>
                <w14:textFill>
                  <w14:solidFill>
                    <w14:schemeClr w14:val="tx1"/>
                  </w14:solidFill>
                </w14:textFill>
              </w:rPr>
              <w:t>/</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工程类）收费标准采用差额定率累进法计算出收费基准价格，采购代理收费以（</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收费基准价格</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□收费基准价格下浮</w:t>
            </w:r>
            <w:r>
              <w:rPr>
                <w:rFonts w:hAnsi="宋体" w:cs="宋体"/>
                <w:color w:val="000000" w:themeColor="text1"/>
                <w:szCs w:val="21"/>
                <w:u w:val="single"/>
                <w14:textFill>
                  <w14:solidFill>
                    <w14:schemeClr w14:val="tx1"/>
                  </w14:solidFill>
                </w14:textFill>
              </w:rPr>
              <w:t xml:space="preserve"> %</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□收费基准价格上浮</w:t>
            </w:r>
            <w:r>
              <w:rPr>
                <w:rFonts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）收取。</w:t>
            </w:r>
          </w:p>
          <w:p w14:paraId="755858CA">
            <w:pPr>
              <w:pStyle w:val="26"/>
              <w:snapToGrid w:val="0"/>
              <w:spacing w:line="360" w:lineRule="auto"/>
              <w:rPr>
                <w:rFonts w:hAnsi="宋体" w:cs="宋体"/>
                <w:color w:val="000000" w:themeColor="text1"/>
                <w:szCs w:val="21"/>
                <w:u w:val="single"/>
                <w14:textFill>
                  <w14:solidFill>
                    <w14:schemeClr w14:val="tx1"/>
                  </w14:solidFill>
                </w14:textFill>
              </w:rPr>
            </w:pPr>
            <w:r>
              <w:rPr>
                <w:rFonts w:hint="eastAsia" w:hAnsi="宋体" w:cs="宋体"/>
                <w:color w:val="000000" w:themeColor="text1"/>
                <w:szCs w:val="21"/>
                <w14:textFill>
                  <w14:solidFill>
                    <w14:schemeClr w14:val="tx1"/>
                  </w14:solidFill>
                </w14:textFill>
              </w:rPr>
              <w:t>□固定采购代理收费。</w:t>
            </w:r>
          </w:p>
          <w:p w14:paraId="4028E5C3">
            <w:pPr>
              <w:pStyle w:val="26"/>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 xml:space="preserve">3. </w:t>
            </w:r>
            <w:r>
              <w:rPr>
                <w:rFonts w:hint="eastAsia" w:hAnsi="宋体" w:cs="宋体"/>
                <w:color w:val="000000" w:themeColor="text1"/>
                <w:szCs w:val="21"/>
                <w14:textFill>
                  <w14:solidFill>
                    <w14:schemeClr w14:val="tx1"/>
                  </w14:solidFill>
                </w14:textFill>
              </w:rPr>
              <w:t>采购代理费收取银行账户</w:t>
            </w:r>
          </w:p>
          <w:p w14:paraId="530E5BB4">
            <w:pPr>
              <w:pStyle w:val="26"/>
              <w:snapToGrid w:val="0"/>
              <w:spacing w:line="360" w:lineRule="auto"/>
              <w:rPr>
                <w:rFonts w:hint="eastAsia" w:hAnsi="宋体" w:cs="宋体"/>
                <w:b/>
                <w:color w:val="auto"/>
                <w:szCs w:val="21"/>
                <w:lang w:eastAsia="zh-CN"/>
              </w:rPr>
            </w:pPr>
            <w:r>
              <w:rPr>
                <w:rFonts w:hint="eastAsia" w:hAnsi="宋体" w:cs="宋体"/>
                <w:b/>
                <w:color w:val="auto"/>
                <w:szCs w:val="21"/>
              </w:rPr>
              <w:t>开户名称：</w:t>
            </w:r>
            <w:r>
              <w:rPr>
                <w:rFonts w:hint="eastAsia" w:hAnsi="宋体" w:cs="宋体"/>
                <w:b/>
                <w:color w:val="auto"/>
                <w:szCs w:val="21"/>
                <w:lang w:eastAsia="zh-CN"/>
              </w:rPr>
              <w:t>广西坤珍建设项目管理咨询有限公司</w:t>
            </w:r>
          </w:p>
          <w:p w14:paraId="285ADC63">
            <w:pPr>
              <w:pStyle w:val="26"/>
              <w:snapToGrid w:val="0"/>
              <w:spacing w:line="360" w:lineRule="auto"/>
              <w:rPr>
                <w:rFonts w:hAnsi="宋体" w:cs="宋体"/>
                <w:b/>
                <w:color w:val="auto"/>
                <w:szCs w:val="21"/>
              </w:rPr>
            </w:pPr>
            <w:r>
              <w:rPr>
                <w:rFonts w:hint="eastAsia" w:hAnsi="宋体" w:cs="宋体"/>
                <w:b/>
                <w:color w:val="auto"/>
                <w:szCs w:val="21"/>
              </w:rPr>
              <w:t>开户银行：</w:t>
            </w:r>
            <w:r>
              <w:rPr>
                <w:rFonts w:hint="eastAsia" w:hAnsi="宋体" w:cs="宋体"/>
                <w:b/>
                <w:color w:val="auto"/>
                <w:szCs w:val="21"/>
                <w:lang w:eastAsia="zh-CN"/>
              </w:rPr>
              <w:t>广西崇左桂南农村商业银行股份有限公司城南分理处</w:t>
            </w:r>
          </w:p>
          <w:p w14:paraId="24CB0849">
            <w:pPr>
              <w:pStyle w:val="26"/>
              <w:snapToGrid w:val="0"/>
              <w:spacing w:line="360" w:lineRule="auto"/>
              <w:rPr>
                <w:rFonts w:hAnsi="宋体" w:cs="宋体"/>
                <w:color w:val="000000" w:themeColor="text1"/>
                <w:szCs w:val="21"/>
                <w14:textFill>
                  <w14:solidFill>
                    <w14:schemeClr w14:val="tx1"/>
                  </w14:solidFill>
                </w14:textFill>
              </w:rPr>
            </w:pPr>
            <w:r>
              <w:rPr>
                <w:rFonts w:hint="eastAsia" w:hAnsi="宋体" w:cs="宋体"/>
                <w:b/>
                <w:color w:val="auto"/>
                <w:szCs w:val="21"/>
              </w:rPr>
              <w:t>银行账号：</w:t>
            </w:r>
            <w:r>
              <w:rPr>
                <w:rFonts w:hint="eastAsia" w:hAnsi="宋体" w:cs="宋体"/>
                <w:b/>
                <w:color w:val="auto"/>
                <w:szCs w:val="21"/>
                <w:lang w:val="en-US" w:eastAsia="zh-CN"/>
              </w:rPr>
              <w:t>146512010105163692</w:t>
            </w:r>
          </w:p>
        </w:tc>
      </w:tr>
      <w:tr w14:paraId="2369D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9A16AF">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w:t>
            </w:r>
          </w:p>
        </w:tc>
        <w:tc>
          <w:tcPr>
            <w:tcW w:w="7912" w:type="dxa"/>
            <w:vAlign w:val="center"/>
          </w:tcPr>
          <w:p w14:paraId="38DF34E4">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s="宋体"/>
                <w:color w:val="000000" w:themeColor="text1"/>
                <w:kern w:val="2"/>
                <w:szCs w:val="21"/>
                <w14:textFill>
                  <w14:solidFill>
                    <w14:schemeClr w14:val="tx1"/>
                  </w14:solidFill>
                </w14:textFill>
              </w:rPr>
            </w:pPr>
            <w:r>
              <w:rPr>
                <w:rFonts w:hint="eastAsia" w:hAnsi="宋体"/>
                <w:color w:val="000000" w:themeColor="text1"/>
                <w:szCs w:val="21"/>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Cs w:val="21"/>
                <w14:textFill>
                  <w14:solidFill>
                    <w14:schemeClr w14:val="tx1"/>
                  </w14:solidFill>
                </w14:textFill>
              </w:rPr>
              <w:t>评审程序、评审方法和评审标准</w:t>
            </w:r>
            <w:r>
              <w:rPr>
                <w:rFonts w:hint="eastAsia" w:hAnsi="宋体"/>
                <w:color w:val="000000" w:themeColor="text1"/>
                <w:szCs w:val="21"/>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457D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92A00B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p>
        </w:tc>
        <w:tc>
          <w:tcPr>
            <w:tcW w:w="7912" w:type="dxa"/>
            <w:vAlign w:val="center"/>
          </w:tcPr>
          <w:p w14:paraId="772B5299">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农民工工资保证金：按照《保障农民工工资支付条例》及《广西壮族自治区人力资源和社会保障厅等</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Cs w:val="21"/>
                <w14:textFill>
                  <w14:solidFill>
                    <w14:schemeClr w14:val="tx1"/>
                  </w14:solidFill>
                </w14:textFill>
              </w:rPr>
              <w:t>2022</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5</w:t>
            </w:r>
            <w:r>
              <w:rPr>
                <w:rFonts w:hint="eastAsia" w:hAnsi="宋体"/>
                <w:color w:val="000000" w:themeColor="text1"/>
                <w:szCs w:val="21"/>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42C47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8644B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w:t>
            </w:r>
          </w:p>
        </w:tc>
        <w:tc>
          <w:tcPr>
            <w:tcW w:w="7912" w:type="dxa"/>
            <w:vAlign w:val="center"/>
          </w:tcPr>
          <w:p w14:paraId="03B6C243">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投标专用章、业务专用章及银行的转账章、现金收讫章、现金付讫章等其他形式印章均不能代替公章。</w:t>
            </w:r>
          </w:p>
          <w:p w14:paraId="20EA5174">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s="宋体"/>
                <w:color w:val="000000" w:themeColor="text1"/>
                <w:szCs w:val="21"/>
                <w14:textFill>
                  <w14:solidFill>
                    <w14:schemeClr w14:val="tx1"/>
                  </w14:solidFill>
                </w14:textFill>
              </w:rPr>
            </w:pPr>
            <w:r>
              <w:rPr>
                <w:rFonts w:hAnsi="宋体" w:cs="宋体"/>
                <w:bCs/>
                <w:color w:val="000000" w:themeColor="text1"/>
                <w:szCs w:val="21"/>
                <w14:textFill>
                  <w14:solidFill>
                    <w14:schemeClr w14:val="tx1"/>
                  </w14:solidFill>
                </w14:textFill>
              </w:rPr>
              <w:t>2.</w:t>
            </w:r>
            <w:r>
              <w:rPr>
                <w:rFonts w:hint="eastAsia" w:hAnsi="宋体" w:cs="宋体"/>
                <w:bCs/>
                <w:color w:val="000000" w:themeColor="text1"/>
                <w:szCs w:val="21"/>
                <w14:textFill>
                  <w14:solidFill>
                    <w14:schemeClr w14:val="tx1"/>
                  </w14:solidFill>
                </w14:textFill>
              </w:rPr>
              <w:t>本磋商文件所称的“</w:t>
            </w:r>
            <w:r>
              <w:rPr>
                <w:rFonts w:hint="eastAsia" w:hAnsi="宋体"/>
                <w:color w:val="000000" w:themeColor="text1"/>
                <w:szCs w:val="21"/>
                <w14:textFill>
                  <w14:solidFill>
                    <w14:schemeClr w14:val="tx1"/>
                  </w14:solidFill>
                </w14:textFill>
              </w:rPr>
              <w:t>电子签章</w:t>
            </w:r>
            <w:r>
              <w:rPr>
                <w:rFonts w:hint="eastAsia" w:hAnsi="宋体" w:cs="宋体"/>
                <w:bCs/>
                <w:color w:val="000000" w:themeColor="text1"/>
                <w:szCs w:val="21"/>
                <w14:textFill>
                  <w14:solidFill>
                    <w14:schemeClr w14:val="tx1"/>
                  </w14:solidFill>
                </w14:textFill>
              </w:rPr>
              <w:t>”、“电子签名”</w:t>
            </w:r>
            <w:r>
              <w:rPr>
                <w:rFonts w:hint="eastAsia" w:hAnsi="宋体"/>
                <w:color w:val="000000" w:themeColor="text1"/>
                <w:szCs w:val="21"/>
                <w14:textFill>
                  <w14:solidFill>
                    <w14:schemeClr w14:val="tx1"/>
                  </w14:solidFill>
                </w14:textFill>
              </w:rPr>
              <w:t>，是指经“政采云”平台认可的</w:t>
            </w:r>
            <w:r>
              <w:rPr>
                <w:rFonts w:hAnsi="宋体"/>
                <w:color w:val="000000" w:themeColor="text1"/>
                <w:szCs w:val="21"/>
                <w14:textFill>
                  <w14:solidFill>
                    <w14:schemeClr w14:val="tx1"/>
                  </w14:solidFill>
                </w14:textFill>
              </w:rPr>
              <w:t>CA</w:t>
            </w:r>
            <w:r>
              <w:rPr>
                <w:rFonts w:hint="eastAsia" w:hAnsi="宋体"/>
                <w:color w:val="000000" w:themeColor="text1"/>
                <w:szCs w:val="21"/>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C9438A2">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s="宋体"/>
                <w:bCs/>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3.</w:t>
            </w:r>
            <w:r>
              <w:rPr>
                <w:rFonts w:hint="eastAsia" w:hAnsi="宋体" w:cs="宋体"/>
                <w:color w:val="000000" w:themeColor="text1"/>
                <w:szCs w:val="21"/>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Cs w:val="21"/>
                <w14:textFill>
                  <w14:solidFill>
                    <w14:schemeClr w14:val="tx1"/>
                  </w14:solidFill>
                </w14:textFill>
              </w:rPr>
              <w:t>营业执照或者执业许可证等证照上的</w:t>
            </w:r>
            <w:r>
              <w:rPr>
                <w:rFonts w:hint="eastAsia" w:hAnsi="宋体" w:cs="宋体"/>
                <w:color w:val="000000" w:themeColor="text1"/>
                <w:szCs w:val="21"/>
                <w14:textFill>
                  <w14:solidFill>
                    <w14:schemeClr w14:val="tx1"/>
                  </w14:solidFill>
                </w14:textFill>
              </w:rPr>
              <w:t>负责人</w:t>
            </w:r>
            <w:r>
              <w:rPr>
                <w:rFonts w:hint="eastAsia" w:hAnsi="宋体" w:cs="宋体"/>
                <w:bCs/>
                <w:color w:val="000000" w:themeColor="text1"/>
                <w:szCs w:val="21"/>
                <w14:textFill>
                  <w14:solidFill>
                    <w14:schemeClr w14:val="tx1"/>
                  </w14:solidFill>
                </w14:textFill>
              </w:rPr>
              <w:t>。</w:t>
            </w:r>
          </w:p>
          <w:p w14:paraId="0371BCC4">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4.</w:t>
            </w:r>
            <w:r>
              <w:rPr>
                <w:rFonts w:hint="eastAsia" w:hAnsi="宋体" w:cs="宋体"/>
                <w:color w:val="000000" w:themeColor="text1"/>
                <w:szCs w:val="21"/>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5CFAB7F3">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5.</w:t>
            </w:r>
            <w:r>
              <w:rPr>
                <w:rFonts w:hint="eastAsia" w:hAnsi="宋体" w:cs="宋体"/>
                <w:color w:val="000000" w:themeColor="text1"/>
                <w:szCs w:val="21"/>
                <w14:textFill>
                  <w14:solidFill>
                    <w14:schemeClr w14:val="tx1"/>
                  </w14:solidFill>
                </w14:textFill>
              </w:rPr>
              <w:t>本磋商文件所称的“以上”“以下”“以内”“届满”，包括本数；所称的“不满”“超过”“以外”，不包括本数。</w:t>
            </w:r>
          </w:p>
          <w:p w14:paraId="7491D95F">
            <w:pPr>
              <w:pStyle w:val="26"/>
              <w:keepNext w:val="0"/>
              <w:keepLines w:val="0"/>
              <w:pageBreakBefore w:val="0"/>
              <w:widowControl w:val="0"/>
              <w:kinsoku/>
              <w:wordWrap/>
              <w:overflowPunct/>
              <w:topLinePunct w:val="0"/>
              <w:autoSpaceDE/>
              <w:autoSpaceDN/>
              <w:bidi w:val="0"/>
              <w:adjustRightInd/>
              <w:snapToGrid w:val="0"/>
              <w:spacing w:line="336" w:lineRule="auto"/>
              <w:textAlignment w:val="auto"/>
              <w:rPr>
                <w:rFonts w:hAnsi="宋体" w:cs="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6.</w:t>
            </w:r>
            <w:r>
              <w:rPr>
                <w:rFonts w:hint="eastAsia" w:hAnsi="宋体" w:cs="宋体"/>
                <w:b/>
                <w:bCs/>
                <w:color w:val="000000" w:themeColor="text1"/>
                <w14:textFill>
                  <w14:solidFill>
                    <w14:schemeClr w14:val="tx1"/>
                  </w14:solidFill>
                </w14:textFill>
              </w:rPr>
              <w:t>温馨提示</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非强制要求</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根据《崇左市财政局关于进一步做好线上“政采贷”融资业务工作的通知》</w:t>
            </w:r>
            <w:r>
              <w:rPr>
                <w:rFonts w:hAnsi="宋体" w:cs="宋体"/>
                <w:b/>
                <w:bCs/>
                <w:color w:val="000000" w:themeColor="text1"/>
                <w14:textFill>
                  <w14:solidFill>
                    <w14:schemeClr w14:val="tx1"/>
                  </w14:solidFill>
                </w14:textFill>
              </w:rPr>
              <w:t xml:space="preserve">( </w:t>
            </w:r>
            <w:r>
              <w:rPr>
                <w:rFonts w:hint="eastAsia" w:hAnsi="宋体" w:cs="宋体"/>
                <w:b/>
                <w:bCs/>
                <w:color w:val="000000" w:themeColor="text1"/>
                <w14:textFill>
                  <w14:solidFill>
                    <w14:schemeClr w14:val="tx1"/>
                  </w14:solidFill>
                </w14:textFill>
              </w:rPr>
              <w:t>崇财采</w:t>
            </w:r>
            <w:r>
              <w:rPr>
                <w:rFonts w:hAnsi="宋体" w:cs="宋体"/>
                <w:b/>
                <w:bCs/>
                <w:color w:val="000000" w:themeColor="text1"/>
                <w14:textFill>
                  <w14:solidFill>
                    <w14:schemeClr w14:val="tx1"/>
                  </w14:solidFill>
                </w14:textFill>
              </w:rPr>
              <w:t>(2023)10</w:t>
            </w:r>
            <w:r>
              <w:rPr>
                <w:rFonts w:hint="eastAsia" w:hAnsi="宋体" w:cs="宋体"/>
                <w:b/>
                <w:bCs/>
                <w:color w:val="000000" w:themeColor="text1"/>
                <w14:textFill>
                  <w14:solidFill>
                    <w14:schemeClr w14:val="tx1"/>
                  </w14:solidFill>
                </w14:textFill>
              </w:rPr>
              <w:t>号</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具体详见采购文件中关于“政采贷”相关信息</w:t>
            </w:r>
            <w:r>
              <w:rPr>
                <w:rFonts w:hAnsi="宋体" w:cs="宋体"/>
                <w:b/>
                <w:bCs/>
                <w:color w:val="000000" w:themeColor="text1"/>
                <w14:textFill>
                  <w14:solidFill>
                    <w14:schemeClr w14:val="tx1"/>
                  </w14:solidFill>
                </w14:textFill>
              </w:rPr>
              <w:t>)</w:t>
            </w:r>
          </w:p>
        </w:tc>
      </w:tr>
    </w:tbl>
    <w:p w14:paraId="656C9E10">
      <w:pPr>
        <w:spacing w:line="400" w:lineRule="exact"/>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供应商须知正文</w:t>
      </w:r>
    </w:p>
    <w:p w14:paraId="2CE9EA0F">
      <w:pPr>
        <w:spacing w:line="400" w:lineRule="exact"/>
        <w:jc w:val="center"/>
        <w:rPr>
          <w:rFonts w:ascii="宋体"/>
          <w:b/>
          <w:color w:val="000000" w:themeColor="text1"/>
          <w:sz w:val="32"/>
          <w:szCs w:val="32"/>
          <w14:textFill>
            <w14:solidFill>
              <w14:schemeClr w14:val="tx1"/>
            </w14:solidFill>
          </w14:textFill>
        </w:rPr>
      </w:pPr>
    </w:p>
    <w:p w14:paraId="25DF2B1C">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一、总则</w:t>
      </w:r>
    </w:p>
    <w:p w14:paraId="508538F8">
      <w:pPr>
        <w:spacing w:line="400" w:lineRule="exact"/>
        <w:rPr>
          <w:rFonts w:ascii="宋体"/>
          <w:color w:val="000000" w:themeColor="text1"/>
          <w:szCs w:val="21"/>
          <w14:textFill>
            <w14:solidFill>
              <w14:schemeClr w14:val="tx1"/>
            </w14:solidFill>
          </w14:textFill>
        </w:rPr>
      </w:pPr>
    </w:p>
    <w:p w14:paraId="7BC4925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适用范围</w:t>
      </w:r>
    </w:p>
    <w:p w14:paraId="6D2806E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Cs w:val="21"/>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Cs w:val="21"/>
          <w14:textFill>
            <w14:solidFill>
              <w14:schemeClr w14:val="tx1"/>
            </w14:solidFill>
          </w14:textFill>
        </w:rPr>
        <w:t>及本项目本级和上级财政部门政府采购有关规定的约束和保护。</w:t>
      </w:r>
    </w:p>
    <w:p w14:paraId="75AACB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Cs w:val="21"/>
          <w14:textFill>
            <w14:solidFill>
              <w14:schemeClr w14:val="tx1"/>
            </w14:solidFill>
          </w14:textFill>
        </w:rPr>
        <w:t>。</w:t>
      </w:r>
    </w:p>
    <w:p w14:paraId="68421DC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定义</w:t>
      </w:r>
    </w:p>
    <w:p w14:paraId="3207677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“采购人”是指依法进行政府采购的国家机关、事业单位、团体组织。</w:t>
      </w:r>
    </w:p>
    <w:p w14:paraId="50069E6D">
      <w:pPr>
        <w:spacing w:line="360" w:lineRule="auto"/>
        <w:ind w:firstLine="420" w:firstLineChars="200"/>
        <w:rPr>
          <w:rFonts w:ascii="宋体" w:cs="宋体"/>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“采购代理机构”是指政府采购集中采购机构和集中采购机构以外的采购代理机构。</w:t>
      </w:r>
    </w:p>
    <w:p w14:paraId="73D825C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“供应商”是指向采购人提供货物、工程或者服务的法人、其他组织或者自然人。</w:t>
      </w:r>
    </w:p>
    <w:p w14:paraId="3CDE15F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“工程”是指建设工程，包括建筑物和构筑物的新建、改建、扩建、装修、拆除、修缮等。</w:t>
      </w:r>
    </w:p>
    <w:p w14:paraId="0C85CF8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“竞标”是指供应商按照本项目竞争性磋商公告或者邀请函规定的方式获取磋商文件、提交响应文件并希望获得标的的行为。</w:t>
      </w:r>
    </w:p>
    <w:p w14:paraId="674A3E5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“书面形式”是指合同书、信件和数据电文（包括电报、电传、传真、电子数据交换和电子邮件）等可以有形地表现所载内容的形式。</w:t>
      </w:r>
    </w:p>
    <w:p w14:paraId="55E082A6">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Cs w:val="21"/>
          <w14:textFill>
            <w14:solidFill>
              <w14:schemeClr w14:val="tx1"/>
            </w14:solidFill>
          </w14:textFill>
        </w:rPr>
        <w:t>。</w:t>
      </w:r>
    </w:p>
    <w:p w14:paraId="50615EBD">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“实质性要求”是指磋商文件中已经指明不满足则响应文件按无效处理的条款，或者不能负偏离的条款，或者采购需求中带“▲”的条款。</w:t>
      </w:r>
    </w:p>
    <w:p w14:paraId="2B49A9EA">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“正偏离”，是指响应文件对磋商文件“采购需求”中有关条款作出的响应优于条款要求并有利于采购人的情形。</w:t>
      </w:r>
    </w:p>
    <w:p w14:paraId="0C47B908">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2.10</w:t>
      </w:r>
      <w:r>
        <w:rPr>
          <w:rFonts w:hint="eastAsia" w:ascii="宋体" w:hAnsi="宋体" w:cs="宋体"/>
          <w:color w:val="000000" w:themeColor="text1"/>
          <w:szCs w:val="21"/>
          <w14:textFill>
            <w14:solidFill>
              <w14:schemeClr w14:val="tx1"/>
            </w14:solidFill>
          </w14:textFill>
        </w:rPr>
        <w:t>“负偏离”，是指响应文件对磋商文件“采购需求”中有关条款作出的响应不满足条款要求，导致采购人要求不能得到满足的情形。</w:t>
      </w:r>
    </w:p>
    <w:p w14:paraId="54E01DC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“允许负偏离的条款”是指采购需求中的不属于“实质性要求”的条款。</w:t>
      </w:r>
    </w:p>
    <w:p w14:paraId="017BDBB4">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“首次报价”是指供应商提交的首次响应文件中的报价。</w:t>
      </w:r>
    </w:p>
    <w:p w14:paraId="0B8F58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供应商的资格条件</w:t>
      </w:r>
    </w:p>
    <w:p w14:paraId="7ED636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供应商的资格条件详见“供应商须知前附表”。</w:t>
      </w:r>
    </w:p>
    <w:p w14:paraId="65B6261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4.</w:t>
      </w:r>
      <w:r>
        <w:rPr>
          <w:rFonts w:hint="eastAsia" w:ascii="黑体" w:hAnsi="黑体" w:eastAsia="黑体" w:cs="宋体"/>
          <w:b/>
          <w:bCs/>
          <w:color w:val="000000" w:themeColor="text1"/>
          <w:sz w:val="24"/>
          <w14:textFill>
            <w14:solidFill>
              <w14:schemeClr w14:val="tx1"/>
            </w14:solidFill>
          </w14:textFill>
        </w:rPr>
        <w:t>竞标费用</w:t>
      </w:r>
    </w:p>
    <w:p w14:paraId="02FE1AA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2BB1507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联合体竞标</w:t>
      </w:r>
    </w:p>
    <w:p w14:paraId="251BC84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本项目是否接受联合体竞标，详见“供应商须知前附表”。</w:t>
      </w:r>
    </w:p>
    <w:p w14:paraId="18501CF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olor w:val="000000" w:themeColor="text1"/>
          <w14:textFill>
            <w14:solidFill>
              <w14:schemeClr w14:val="tx1"/>
            </w14:solidFill>
          </w14:textFill>
        </w:rPr>
        <w:t>如接受联合体竞标，</w:t>
      </w:r>
      <w:r>
        <w:rPr>
          <w:rFonts w:hint="eastAsia" w:ascii="宋体" w:hAnsi="宋体" w:cs="宋体"/>
          <w:color w:val="000000" w:themeColor="text1"/>
          <w:szCs w:val="21"/>
          <w14:textFill>
            <w14:solidFill>
              <w14:schemeClr w14:val="tx1"/>
            </w14:solidFill>
          </w14:textFill>
        </w:rPr>
        <w:t>联合体竞标要求详见“供应商须知前附表”。</w:t>
      </w:r>
    </w:p>
    <w:p w14:paraId="1E77559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bookmarkStart w:id="58" w:name="_Hlk66782192"/>
      <w:r>
        <w:rPr>
          <w:rFonts w:hint="eastAsia" w:ascii="宋体" w:hAnsi="宋体"/>
          <w:color w:val="000000" w:themeColor="text1"/>
          <w:szCs w:val="21"/>
          <w14:textFill>
            <w14:solidFill>
              <w14:schemeClr w14:val="tx1"/>
            </w14:solidFill>
          </w14:textFill>
        </w:rPr>
        <w:t>根据《政府采购促进中小企业发展管理办法》（财库〔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以上的，采购人、采购代理机构应当对联合体或者大中型企业的报价给予</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的扣除，用扣除后的价格参加评审。</w:t>
      </w:r>
      <w:bookmarkEnd w:id="58"/>
    </w:p>
    <w:p w14:paraId="12A42E2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6.</w:t>
      </w:r>
      <w:r>
        <w:rPr>
          <w:rFonts w:hint="eastAsia" w:ascii="黑体" w:hAnsi="黑体" w:eastAsia="黑体" w:cs="宋体"/>
          <w:b/>
          <w:bCs/>
          <w:color w:val="000000" w:themeColor="text1"/>
          <w:sz w:val="24"/>
          <w14:textFill>
            <w14:solidFill>
              <w14:schemeClr w14:val="tx1"/>
            </w14:solidFill>
          </w14:textFill>
        </w:rPr>
        <w:t>转包与分包</w:t>
      </w:r>
    </w:p>
    <w:p w14:paraId="1E55AE3D">
      <w:pPr>
        <w:pStyle w:val="6"/>
        <w:keepNext w:val="0"/>
        <w:keepLines w:val="0"/>
        <w:spacing w:before="0" w:after="0" w:line="360" w:lineRule="auto"/>
        <w:ind w:left="420" w:leftChars="200"/>
        <w:rPr>
          <w:rFonts w:ascii="宋体"/>
          <w:b w:val="0"/>
          <w:color w:val="000000" w:themeColor="text1"/>
          <w:sz w:val="21"/>
          <w:szCs w:val="21"/>
          <w14:textFill>
            <w14:solidFill>
              <w14:schemeClr w14:val="tx1"/>
            </w14:solidFill>
          </w14:textFill>
        </w:rPr>
      </w:pPr>
      <w:bookmarkStart w:id="59" w:name="_Toc254970673"/>
      <w:bookmarkStart w:id="60" w:name="_Toc254970532"/>
      <w:r>
        <w:rPr>
          <w:rFonts w:ascii="宋体" w:hAnsi="宋体"/>
          <w:b w:val="0"/>
          <w:color w:val="000000" w:themeColor="text1"/>
          <w:sz w:val="21"/>
          <w:szCs w:val="21"/>
          <w14:textFill>
            <w14:solidFill>
              <w14:schemeClr w14:val="tx1"/>
            </w14:solidFill>
          </w14:textFill>
        </w:rPr>
        <w:t>6.1</w:t>
      </w:r>
      <w:r>
        <w:rPr>
          <w:rFonts w:hint="eastAsia" w:ascii="宋体" w:hAnsi="宋体"/>
          <w:b w:val="0"/>
          <w:color w:val="000000" w:themeColor="text1"/>
          <w:sz w:val="21"/>
          <w:szCs w:val="21"/>
          <w14:textFill>
            <w14:solidFill>
              <w14:schemeClr w14:val="tx1"/>
            </w14:solidFill>
          </w14:textFill>
        </w:rPr>
        <w:t>本项目不允许转包。</w:t>
      </w:r>
    </w:p>
    <w:p w14:paraId="4473939A">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6.2</w:t>
      </w:r>
      <w:r>
        <w:rPr>
          <w:rFonts w:hint="eastAsia" w:ascii="宋体" w:hAnsi="宋体"/>
          <w:b w:val="0"/>
          <w:color w:val="000000" w:themeColor="text1"/>
          <w:sz w:val="21"/>
          <w:szCs w:val="21"/>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5EA2728E">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6.3</w:t>
      </w:r>
      <w:r>
        <w:rPr>
          <w:rFonts w:hint="eastAsia" w:ascii="宋体" w:hAnsi="宋体"/>
          <w:b w:val="0"/>
          <w:color w:val="000000" w:themeColor="text1"/>
          <w:sz w:val="21"/>
          <w:szCs w:val="21"/>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4C3416A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7.</w:t>
      </w:r>
      <w:r>
        <w:rPr>
          <w:rFonts w:hint="eastAsia" w:ascii="黑体" w:hAnsi="黑体" w:eastAsia="黑体" w:cs="宋体"/>
          <w:b/>
          <w:bCs/>
          <w:color w:val="000000" w:themeColor="text1"/>
          <w:sz w:val="24"/>
          <w14:textFill>
            <w14:solidFill>
              <w14:schemeClr w14:val="tx1"/>
            </w14:solidFill>
          </w14:textFill>
        </w:rPr>
        <w:t>特别说明</w:t>
      </w:r>
      <w:bookmarkEnd w:id="59"/>
      <w:bookmarkEnd w:id="60"/>
    </w:p>
    <w:p w14:paraId="04BD9421">
      <w:pPr>
        <w:spacing w:line="360" w:lineRule="auto"/>
        <w:ind w:firstLine="420" w:firstLineChars="200"/>
        <w:rPr>
          <w:rFonts w:ascii="宋体" w:cs="宋体"/>
          <w:color w:val="000000" w:themeColor="text1"/>
          <w:szCs w:val="21"/>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Cs w:val="21"/>
          <w14:textFill>
            <w14:solidFill>
              <w14:schemeClr w14:val="tx1"/>
            </w14:solidFill>
          </w14:textFill>
        </w:rPr>
        <w:t>7.1</w:t>
      </w:r>
      <w:bookmarkStart w:id="62" w:name="_Hlk65832145"/>
      <w:r>
        <w:rPr>
          <w:rFonts w:hint="eastAsia" w:ascii="宋体" w:hAnsi="宋体"/>
          <w:color w:val="000000" w:themeColor="text1"/>
          <w:szCs w:val="21"/>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Cs w:val="21"/>
          <w14:textFill>
            <w14:solidFill>
              <w14:schemeClr w14:val="tx1"/>
            </w14:solidFill>
          </w14:textFill>
        </w:rPr>
        <w:t>。</w:t>
      </w:r>
    </w:p>
    <w:bookmarkEnd w:id="62"/>
    <w:p w14:paraId="685D94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7.2</w:t>
      </w:r>
      <w:r>
        <w:rPr>
          <w:rFonts w:hint="eastAsia" w:ascii="宋体" w:hAnsi="宋体" w:cs="宋体"/>
          <w:color w:val="000000" w:themeColor="text1"/>
          <w:szCs w:val="21"/>
          <w14:textFill>
            <w14:solidFill>
              <w14:schemeClr w14:val="tx1"/>
            </w14:solidFill>
          </w14:textFill>
        </w:rPr>
        <w:t>供应商应仔细阅读磋商文件的所有内容，按照磋商文件的要求提交响应文件，并对所提供的全部资料的真实性承担法律责任。</w:t>
      </w:r>
    </w:p>
    <w:p w14:paraId="3DD2AD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7.3</w:t>
      </w:r>
      <w:r>
        <w:rPr>
          <w:rFonts w:hint="eastAsia" w:ascii="宋体" w:hAnsi="宋体" w:cs="宋体"/>
          <w:color w:val="000000" w:themeColor="text1"/>
          <w:szCs w:val="21"/>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3183FFE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7.4</w:t>
      </w:r>
      <w:r>
        <w:rPr>
          <w:rFonts w:hint="eastAsia" w:ascii="宋体" w:hAnsi="宋体" w:cs="宋体"/>
          <w:color w:val="000000" w:themeColor="text1"/>
          <w:szCs w:val="21"/>
          <w14:textFill>
            <w14:solidFill>
              <w14:schemeClr w14:val="tx1"/>
            </w14:solidFill>
          </w14:textFill>
        </w:rPr>
        <w:t>在政府采购活动中，采购人员及相关人员与供应商有下列利害关系之一的，应当回避：</w:t>
      </w:r>
    </w:p>
    <w:p w14:paraId="5A27C4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年内与供应商存在劳动关系；</w:t>
      </w:r>
    </w:p>
    <w:p w14:paraId="6B107B0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年内担任供应商的董事、监事；</w:t>
      </w:r>
    </w:p>
    <w:p w14:paraId="3765154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年内是供应商的控股股东或者实际控制人；</w:t>
      </w:r>
    </w:p>
    <w:p w14:paraId="4B63C1E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）与供应商的法定代表人或者负责人有夫妻、直系血亲、三代以内旁系血亲或者近姻亲关系；</w:t>
      </w:r>
    </w:p>
    <w:p w14:paraId="320AA34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）与供应商有其他可能影响政府采购活动公平、公正进行的关系。</w:t>
      </w:r>
    </w:p>
    <w:p w14:paraId="3E74249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1B0B2B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7.5</w:t>
      </w:r>
      <w:r>
        <w:rPr>
          <w:rFonts w:hint="eastAsia" w:ascii="宋体" w:hAnsi="宋体" w:cs="宋体"/>
          <w:color w:val="000000" w:themeColor="text1"/>
          <w:szCs w:val="21"/>
          <w14:textFill>
            <w14:solidFill>
              <w14:schemeClr w14:val="tx1"/>
            </w14:solidFill>
          </w14:textFill>
        </w:rPr>
        <w:t>有下列情形之一的视为供应商相互串通竞标，响应文件将被视为无效：</w:t>
      </w:r>
    </w:p>
    <w:p w14:paraId="4A70301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）不同供应商的响应文件由同一单位或者个人编制；</w:t>
      </w:r>
    </w:p>
    <w:p w14:paraId="6C0145F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）不同供应商委托同一单位或者个人办理竞标事宜；</w:t>
      </w:r>
    </w:p>
    <w:p w14:paraId="2256DA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）不同的供应商的响应文件载明的项目管理员为同一个人；</w:t>
      </w:r>
    </w:p>
    <w:p w14:paraId="2A42EB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）不同供应商的响应文件异常一致或者报价呈规律性差异；</w:t>
      </w:r>
    </w:p>
    <w:p w14:paraId="092288F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）不同供应商的响应文件相互混装；</w:t>
      </w:r>
    </w:p>
    <w:p w14:paraId="7E4CA14B">
      <w:pPr>
        <w:tabs>
          <w:tab w:val="left" w:pos="6931"/>
        </w:tabs>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）不同供应商的磋商保证金从同一单位或者个人账户转出。</w:t>
      </w:r>
      <w:r>
        <w:rPr>
          <w:rFonts w:ascii="宋体" w:cs="宋体"/>
          <w:color w:val="000000" w:themeColor="text1"/>
          <w:szCs w:val="21"/>
          <w14:textFill>
            <w14:solidFill>
              <w14:schemeClr w14:val="tx1"/>
            </w14:solidFill>
          </w14:textFill>
        </w:rPr>
        <w:tab/>
      </w:r>
    </w:p>
    <w:p w14:paraId="1641135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7.6</w:t>
      </w:r>
      <w:r>
        <w:rPr>
          <w:rFonts w:hint="eastAsia" w:ascii="宋体" w:hAnsi="宋体" w:cs="宋体"/>
          <w:color w:val="000000" w:themeColor="text1"/>
          <w:szCs w:val="21"/>
          <w14:textFill>
            <w14:solidFill>
              <w14:schemeClr w14:val="tx1"/>
            </w14:solidFill>
          </w14:textFill>
        </w:rPr>
        <w:t>供应商有下列情形之一的，属于恶意串通行为，将报同级监督管理部门：</w:t>
      </w:r>
    </w:p>
    <w:p w14:paraId="319C8C2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）供应商直接或者间接从采购人或者采购代理机构处获得其他供应商的相关信息并修改其响应文件；</w:t>
      </w:r>
    </w:p>
    <w:p w14:paraId="345C5F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）供应商按照采购人或者采购代理机构的授意撤换、修改响应文件；</w:t>
      </w:r>
    </w:p>
    <w:p w14:paraId="47974B2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）供应商之间协商报价、技术方案等响应文件或者响应文件的实质性内容；</w:t>
      </w:r>
    </w:p>
    <w:p w14:paraId="3F67B57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）属于同一集团、协会、商会等组织成员的供应商按照该组织要求协同参加政府采购活动；</w:t>
      </w:r>
    </w:p>
    <w:p w14:paraId="5D96F3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06BCCC6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）供应商之间商定部分供应商放弃参加政府采购活动或者放弃成交；</w:t>
      </w:r>
    </w:p>
    <w:p w14:paraId="004B895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）供应商与采购人或者采购代理机构之间、供应商相互之间，为谋求特定供应商成交或者排斥其他供应商的其他串通行为。</w:t>
      </w:r>
    </w:p>
    <w:p w14:paraId="48D57CB7">
      <w:pPr>
        <w:spacing w:line="360" w:lineRule="auto"/>
        <w:jc w:val="both"/>
        <w:rPr>
          <w:rFonts w:ascii="宋体"/>
          <w:color w:val="000000" w:themeColor="text1"/>
          <w14:textFill>
            <w14:solidFill>
              <w14:schemeClr w14:val="tx1"/>
            </w14:solidFill>
          </w14:textFill>
        </w:rPr>
      </w:pPr>
      <w:bookmarkStart w:id="63" w:name="_Toc254970675"/>
      <w:bookmarkStart w:id="64" w:name="_Toc254970534"/>
    </w:p>
    <w:p w14:paraId="6BA0667A">
      <w:pPr>
        <w:spacing w:line="360" w:lineRule="auto"/>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二、磋商文件</w:t>
      </w:r>
      <w:bookmarkEnd w:id="63"/>
      <w:bookmarkEnd w:id="64"/>
    </w:p>
    <w:p w14:paraId="33E4CFA6">
      <w:pPr>
        <w:spacing w:line="360" w:lineRule="auto"/>
        <w:rPr>
          <w:rFonts w:ascii="宋体"/>
          <w:color w:val="000000" w:themeColor="text1"/>
          <w:szCs w:val="21"/>
          <w14:textFill>
            <w14:solidFill>
              <w14:schemeClr w14:val="tx1"/>
            </w14:solidFill>
          </w14:textFill>
        </w:rPr>
      </w:pPr>
    </w:p>
    <w:p w14:paraId="7EC9C10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8.</w:t>
      </w:r>
      <w:r>
        <w:rPr>
          <w:rFonts w:hint="eastAsia" w:ascii="黑体" w:hAnsi="黑体" w:eastAsia="黑体" w:cs="宋体"/>
          <w:b/>
          <w:bCs/>
          <w:color w:val="000000" w:themeColor="text1"/>
          <w:sz w:val="24"/>
          <w14:textFill>
            <w14:solidFill>
              <w14:schemeClr w14:val="tx1"/>
            </w14:solidFill>
          </w14:textFill>
        </w:rPr>
        <w:t>磋商文件的构成</w:t>
      </w:r>
    </w:p>
    <w:p w14:paraId="023B1DDF">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第一章竞争性磋商公告；</w:t>
      </w:r>
    </w:p>
    <w:p w14:paraId="7E3AF7BD">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第二章供应商须知；</w:t>
      </w:r>
    </w:p>
    <w:p w14:paraId="2672F95B">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第三章采购需求；</w:t>
      </w:r>
    </w:p>
    <w:p w14:paraId="673DCEFC">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第四章评审程序、评审方法和评审标准；</w:t>
      </w:r>
    </w:p>
    <w:p w14:paraId="557EEEF5">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第五章工程量清单及图纸；</w:t>
      </w:r>
    </w:p>
    <w:p w14:paraId="72CB7E34">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第六章响应文件格式；</w:t>
      </w:r>
    </w:p>
    <w:p w14:paraId="19B56617">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第七章合同文本。</w:t>
      </w:r>
    </w:p>
    <w:p w14:paraId="08B6FD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9.</w:t>
      </w:r>
      <w:r>
        <w:rPr>
          <w:rFonts w:hint="eastAsia" w:ascii="黑体" w:hAnsi="黑体" w:eastAsia="黑体" w:cs="宋体"/>
          <w:b/>
          <w:bCs/>
          <w:color w:val="000000" w:themeColor="text1"/>
          <w:sz w:val="24"/>
          <w14:textFill>
            <w14:solidFill>
              <w14:schemeClr w14:val="tx1"/>
            </w14:solidFill>
          </w14:textFill>
        </w:rPr>
        <w:t>供应商的询问</w:t>
      </w:r>
    </w:p>
    <w:p w14:paraId="00C31F5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4C68997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10.</w:t>
      </w:r>
      <w:r>
        <w:rPr>
          <w:rFonts w:hint="eastAsia" w:ascii="黑体" w:hAnsi="黑体" w:eastAsia="黑体" w:cs="宋体"/>
          <w:b/>
          <w:bCs/>
          <w:color w:val="000000" w:themeColor="text1"/>
          <w:sz w:val="24"/>
          <w14:textFill>
            <w14:solidFill>
              <w14:schemeClr w14:val="tx1"/>
            </w14:solidFill>
          </w14:textFill>
        </w:rPr>
        <w:t>磋商文件的澄清和修改</w:t>
      </w:r>
    </w:p>
    <w:p w14:paraId="11328734">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个工作日前，以书面形式通知所有获取磋商文件的供应商，不足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个工作日的，应当顺延提交首次响应文件截止之日。</w:t>
      </w:r>
    </w:p>
    <w:p w14:paraId="5D2C0EF8">
      <w:pPr>
        <w:spacing w:line="360" w:lineRule="auto"/>
        <w:ind w:firstLine="3534" w:firstLineChars="1100"/>
        <w:jc w:val="both"/>
        <w:rPr>
          <w:rFonts w:ascii="宋体"/>
          <w:b/>
          <w:bCs/>
          <w:color w:val="000000" w:themeColor="text1"/>
          <w:szCs w:val="21"/>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三、响应文件的编制</w:t>
      </w:r>
    </w:p>
    <w:p w14:paraId="18426203">
      <w:pPr>
        <w:spacing w:line="360" w:lineRule="auto"/>
        <w:rPr>
          <w:rFonts w:ascii="宋体"/>
          <w:color w:val="000000" w:themeColor="text1"/>
          <w:szCs w:val="21"/>
          <w14:textFill>
            <w14:solidFill>
              <w14:schemeClr w14:val="tx1"/>
            </w14:solidFill>
          </w14:textFill>
        </w:rPr>
      </w:pPr>
    </w:p>
    <w:p w14:paraId="5AB61FC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11.</w:t>
      </w:r>
      <w:r>
        <w:rPr>
          <w:rFonts w:hint="eastAsia" w:ascii="黑体" w:hAnsi="黑体" w:eastAsia="黑体" w:cs="宋体"/>
          <w:b/>
          <w:bCs/>
          <w:color w:val="000000" w:themeColor="text1"/>
          <w:sz w:val="24"/>
          <w14:textFill>
            <w14:solidFill>
              <w14:schemeClr w14:val="tx1"/>
            </w14:solidFill>
          </w14:textFill>
        </w:rPr>
        <w:t>响应文件的编制原则</w:t>
      </w:r>
    </w:p>
    <w:p w14:paraId="5DC878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025A1E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12.</w:t>
      </w:r>
      <w:r>
        <w:rPr>
          <w:rFonts w:hint="eastAsia" w:ascii="黑体" w:hAnsi="黑体" w:eastAsia="黑体" w:cs="宋体"/>
          <w:b/>
          <w:bCs/>
          <w:color w:val="000000" w:themeColor="text1"/>
          <w:sz w:val="24"/>
          <w14:textFill>
            <w14:solidFill>
              <w14:schemeClr w14:val="tx1"/>
            </w14:solidFill>
          </w14:textFill>
        </w:rPr>
        <w:t>响应文件的组成</w:t>
      </w:r>
    </w:p>
    <w:p w14:paraId="31257A7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响应文件由资格证明文件、报价文件、商务技术文件三部分组成。</w:t>
      </w:r>
    </w:p>
    <w:p w14:paraId="546BBBCF">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r>
        <w:rPr>
          <w:rFonts w:hint="eastAsia" w:ascii="宋体" w:hAnsi="宋体" w:cs="宋体"/>
          <w:color w:val="000000" w:themeColor="text1"/>
          <w:szCs w:val="21"/>
          <w14:textFill>
            <w14:solidFill>
              <w14:schemeClr w14:val="tx1"/>
            </w14:solidFill>
          </w14:textFill>
        </w:rPr>
        <w:t>资格证明文件：详见“供应商须知前附表”</w:t>
      </w:r>
    </w:p>
    <w:p w14:paraId="3F5A403A">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r>
        <w:rPr>
          <w:rFonts w:hint="eastAsia" w:ascii="宋体" w:hAnsi="宋体" w:cs="宋体"/>
          <w:color w:val="000000" w:themeColor="text1"/>
          <w:szCs w:val="21"/>
          <w14:textFill>
            <w14:solidFill>
              <w14:schemeClr w14:val="tx1"/>
            </w14:solidFill>
          </w14:textFill>
        </w:rPr>
        <w:t>报价文件：详见“供应商须知前附表”</w:t>
      </w:r>
    </w:p>
    <w:p w14:paraId="257D3A0D">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r>
        <w:rPr>
          <w:rFonts w:hint="eastAsia" w:ascii="宋体" w:hAnsi="宋体" w:cs="宋体"/>
          <w:color w:val="000000" w:themeColor="text1"/>
          <w:szCs w:val="21"/>
          <w14:textFill>
            <w14:solidFill>
              <w14:schemeClr w14:val="tx1"/>
            </w14:solidFill>
          </w14:textFill>
        </w:rPr>
        <w:t>商务技术文件：详见“供应商须知前附表”</w:t>
      </w:r>
    </w:p>
    <w:p w14:paraId="1EEE41C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13.</w:t>
      </w:r>
      <w:r>
        <w:rPr>
          <w:rFonts w:hint="eastAsia" w:ascii="黑体" w:hAnsi="黑体" w:eastAsia="黑体" w:cs="宋体"/>
          <w:b/>
          <w:bCs/>
          <w:color w:val="000000" w:themeColor="text1"/>
          <w:sz w:val="24"/>
          <w14:textFill>
            <w14:solidFill>
              <w14:schemeClr w14:val="tx1"/>
            </w14:solidFill>
          </w14:textFill>
        </w:rPr>
        <w:t>计量单位</w:t>
      </w:r>
    </w:p>
    <w:p w14:paraId="278179D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0AA0B7F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14.</w:t>
      </w:r>
      <w:r>
        <w:rPr>
          <w:rFonts w:hint="eastAsia" w:ascii="黑体" w:hAnsi="黑体" w:eastAsia="黑体" w:cs="宋体"/>
          <w:b/>
          <w:bCs/>
          <w:color w:val="000000" w:themeColor="text1"/>
          <w:sz w:val="24"/>
          <w14:textFill>
            <w14:solidFill>
              <w14:schemeClr w14:val="tx1"/>
            </w14:solidFill>
          </w14:textFill>
        </w:rPr>
        <w:t>竞标的风险</w:t>
      </w:r>
    </w:p>
    <w:p w14:paraId="06C2C5D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327435B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15.</w:t>
      </w:r>
      <w:r>
        <w:rPr>
          <w:rFonts w:hint="eastAsia" w:ascii="黑体" w:hAnsi="黑体" w:eastAsia="黑体" w:cs="宋体"/>
          <w:b/>
          <w:bCs/>
          <w:color w:val="000000" w:themeColor="text1"/>
          <w:sz w:val="24"/>
          <w14:textFill>
            <w14:solidFill>
              <w14:schemeClr w14:val="tx1"/>
            </w14:solidFill>
          </w14:textFill>
        </w:rPr>
        <w:t>竞标报价</w:t>
      </w:r>
    </w:p>
    <w:p w14:paraId="3DF92AE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竞标报价应按磋商文件中“竞标报价表”及</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已标价工程量清单</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格式填写。</w:t>
      </w:r>
    </w:p>
    <w:p w14:paraId="3A24C8AC">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竞标报价的内容见“供应商须知前附表”。</w:t>
      </w:r>
    </w:p>
    <w:p w14:paraId="07709395">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r>
        <w:rPr>
          <w:rFonts w:hint="eastAsia" w:ascii="宋体" w:hAnsi="宋体" w:cs="宋体"/>
          <w:color w:val="000000" w:themeColor="text1"/>
          <w:szCs w:val="21"/>
          <w14:textFill>
            <w14:solidFill>
              <w14:schemeClr w14:val="tx1"/>
            </w14:solidFill>
          </w14:textFill>
        </w:rPr>
        <w:t>本项目的增值税计税方法见“供应商须知前附表”。</w:t>
      </w:r>
    </w:p>
    <w:p w14:paraId="1A122C12">
      <w:pPr>
        <w:spacing w:line="360" w:lineRule="auto"/>
        <w:ind w:left="426" w:leftChars="203"/>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w:t>
      </w:r>
      <w:r>
        <w:rPr>
          <w:rFonts w:hint="eastAsia" w:ascii="宋体" w:hAnsi="宋体" w:cs="宋体"/>
          <w:color w:val="000000" w:themeColor="text1"/>
          <w:szCs w:val="21"/>
          <w14:textFill>
            <w14:solidFill>
              <w14:schemeClr w14:val="tx1"/>
            </w14:solidFill>
          </w14:textFill>
        </w:rPr>
        <w:t>竞标报价要求</w:t>
      </w:r>
    </w:p>
    <w:p w14:paraId="64F492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15.4.1</w:t>
      </w:r>
      <w:r>
        <w:rPr>
          <w:rFonts w:hint="eastAsia" w:ascii="宋体" w:hAnsi="宋体" w:cs="宋体"/>
          <w:color w:val="000000" w:themeColor="text1"/>
          <w:szCs w:val="21"/>
          <w14:textFill>
            <w14:solidFill>
              <w14:schemeClr w14:val="tx1"/>
            </w14:solidFill>
          </w14:textFill>
        </w:rPr>
        <w:t>供应商的竞标报价应符合以下要求，否则响应文件按无效处理：</w:t>
      </w:r>
    </w:p>
    <w:p w14:paraId="24DD8543">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）供应商必须就“采购需求”中所竞标的每个分标的全部内容分别作完整唯一总价报价，</w:t>
      </w:r>
    </w:p>
    <w:p w14:paraId="71A8EEA1">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不得存在漏项报价；</w:t>
      </w:r>
    </w:p>
    <w:p w14:paraId="4E94450D">
      <w:pPr>
        <w:numPr>
          <w:ilvl w:val="0"/>
          <w:numId w:val="1"/>
        </w:num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供应商必须就所竞标的分标的单项内容作唯一报价。</w:t>
      </w:r>
    </w:p>
    <w:p w14:paraId="0EBE3EB4">
      <w:pPr>
        <w:numPr>
          <w:ilvl w:val="0"/>
          <w:numId w:val="1"/>
        </w:numPr>
        <w:spacing w:line="360" w:lineRule="auto"/>
        <w:ind w:firstLine="42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2"/>
          <w:szCs w:val="22"/>
          <w14:textFill>
            <w14:solidFill>
              <w14:schemeClr w14:val="tx1"/>
            </w14:solidFill>
          </w14:textFill>
        </w:rPr>
        <w:t>要求其在评标现场合理的时间内提供书面说明</w:t>
      </w:r>
      <w:r>
        <w:rPr>
          <w:rFonts w:hint="eastAsia" w:ascii="宋体" w:hAnsi="宋体" w:cs="宋体"/>
          <w:color w:val="000000" w:themeColor="text1"/>
          <w:szCs w:val="21"/>
          <w14:textFill>
            <w14:solidFill>
              <w14:schemeClr w14:val="tx1"/>
            </w14:solidFill>
          </w14:textFill>
        </w:rPr>
        <w:t>。如无法提供说明，或者说明不足以证明合理性的，经磋商小组评定，响应文件按无效处理。</w:t>
      </w:r>
    </w:p>
    <w:p w14:paraId="303EBAF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15.4.2</w:t>
      </w:r>
      <w:r>
        <w:rPr>
          <w:rFonts w:hint="eastAsia" w:ascii="宋体" w:hAnsi="宋体" w:cs="宋体"/>
          <w:color w:val="000000" w:themeColor="text1"/>
          <w:szCs w:val="21"/>
          <w14:textFill>
            <w14:solidFill>
              <w14:schemeClr w14:val="tx1"/>
            </w14:solidFill>
          </w14:textFill>
        </w:rPr>
        <w:t>竞标报价（包含首次报价、最后报价）超过所竞标分标规定的采购预算金额或者最高限价的，其响应文件将按无效处理。</w:t>
      </w:r>
    </w:p>
    <w:p w14:paraId="45A408B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15.4.3</w:t>
      </w:r>
      <w:bookmarkStart w:id="65" w:name="_Hlk42592874"/>
      <w:r>
        <w:rPr>
          <w:rFonts w:hint="eastAsia" w:ascii="宋体" w:hAnsi="宋体" w:cs="宋体"/>
          <w:color w:val="000000" w:themeColor="text1"/>
          <w:szCs w:val="21"/>
          <w14:textFill>
            <w14:solidFill>
              <w14:schemeClr w14:val="tx1"/>
            </w14:solidFill>
          </w14:textFill>
        </w:rPr>
        <w:t>竞标报价（包含首次报价、最后报价）超过分项采购预算金额或者最高限价的（如有要求），其响应文件将按无效处理。</w:t>
      </w:r>
    </w:p>
    <w:p w14:paraId="5822A13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15.4.4</w:t>
      </w:r>
      <w:r>
        <w:rPr>
          <w:rFonts w:hint="eastAsia" w:ascii="宋体" w:hAnsi="宋体" w:cs="宋体"/>
          <w:color w:val="000000" w:themeColor="text1"/>
          <w:szCs w:val="21"/>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条、第</w:t>
      </w: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条的有关要求。</w:t>
      </w:r>
    </w:p>
    <w:bookmarkEnd w:id="65"/>
    <w:p w14:paraId="604A72C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16.</w:t>
      </w:r>
      <w:r>
        <w:rPr>
          <w:rFonts w:hint="eastAsia" w:ascii="黑体" w:hAnsi="黑体" w:eastAsia="黑体" w:cs="宋体"/>
          <w:b/>
          <w:bCs/>
          <w:color w:val="000000" w:themeColor="text1"/>
          <w:sz w:val="24"/>
          <w14:textFill>
            <w14:solidFill>
              <w14:schemeClr w14:val="tx1"/>
            </w14:solidFill>
          </w14:textFill>
        </w:rPr>
        <w:t>竞标有效期</w:t>
      </w:r>
    </w:p>
    <w:p w14:paraId="60F70F0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2022110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16.2 </w:t>
      </w:r>
      <w:r>
        <w:rPr>
          <w:rFonts w:hint="eastAsia" w:ascii="宋体" w:hAnsi="宋体" w:cs="宋体"/>
          <w:color w:val="000000" w:themeColor="text1"/>
          <w:szCs w:val="21"/>
          <w14:textFill>
            <w14:solidFill>
              <w14:schemeClr w14:val="tx1"/>
            </w14:solidFill>
          </w14:textFill>
        </w:rPr>
        <w:t>竞标有效期应由供应商按“供应商须知前附表”规定的期限作出响应。</w:t>
      </w:r>
    </w:p>
    <w:p w14:paraId="3FDB28A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16.3</w:t>
      </w:r>
      <w:r>
        <w:rPr>
          <w:rFonts w:hint="eastAsia" w:ascii="宋体" w:hAnsi="宋体" w:cs="宋体"/>
          <w:color w:val="000000" w:themeColor="text1"/>
          <w:szCs w:val="21"/>
          <w14:textFill>
            <w14:solidFill>
              <w14:schemeClr w14:val="tx1"/>
            </w14:solidFill>
          </w14:textFill>
        </w:rPr>
        <w:t>供应商的响应文件在竞标有效期内均保持有效。</w:t>
      </w:r>
    </w:p>
    <w:p w14:paraId="07521A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17.</w:t>
      </w:r>
      <w:r>
        <w:rPr>
          <w:rFonts w:hint="eastAsia" w:ascii="黑体" w:hAnsi="黑体" w:eastAsia="黑体" w:cs="宋体"/>
          <w:b/>
          <w:bCs/>
          <w:color w:val="000000" w:themeColor="text1"/>
          <w:sz w:val="24"/>
          <w14:textFill>
            <w14:solidFill>
              <w14:schemeClr w14:val="tx1"/>
            </w14:solidFill>
          </w14:textFill>
        </w:rPr>
        <w:t>磋商保证金</w:t>
      </w:r>
    </w:p>
    <w:p w14:paraId="3DD4EEEE">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供应商须按“供应商须知前附表”的规定提交磋商保证金。</w:t>
      </w:r>
    </w:p>
    <w:p w14:paraId="03B2ED9C">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磋商保证金的退还</w:t>
      </w:r>
    </w:p>
    <w:p w14:paraId="68C151DC">
      <w:pPr>
        <w:spacing w:line="360" w:lineRule="auto"/>
        <w:ind w:firstLine="420" w:firstLineChars="200"/>
        <w:rPr>
          <w:rFonts w:ascii="宋体" w:cs="宋体"/>
          <w:color w:val="000000" w:themeColor="text1"/>
          <w:szCs w:val="21"/>
          <w14:textFill>
            <w14:solidFill>
              <w14:schemeClr w14:val="tx1"/>
            </w14:solidFill>
          </w14:textFill>
        </w:rPr>
      </w:pPr>
      <w:bookmarkStart w:id="66" w:name="_Hlk66782243"/>
      <w:r>
        <w:rPr>
          <w:rFonts w:hint="eastAsia" w:ascii="宋体" w:hAnsi="宋体" w:cs="宋体"/>
          <w:color w:val="000000" w:themeColor="text1"/>
          <w:szCs w:val="21"/>
          <w14:textFill>
            <w14:solidFill>
              <w14:schemeClr w14:val="tx1"/>
            </w14:solidFill>
          </w14:textFill>
        </w:rPr>
        <w:t>未成交供应商的磋商保证金自成交通知书发出之日起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个工作日内退还；成交供应商的磋商保证金自签订合同之日起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个工作日内退还或者转为成交供应商的履约保证金。</w:t>
      </w:r>
      <w:bookmarkEnd w:id="66"/>
    </w:p>
    <w:p w14:paraId="3A8A2DE5">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磋商保证金不计息。</w:t>
      </w:r>
    </w:p>
    <w:p w14:paraId="38CFB681">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供应商有下列情形之一的，磋商保证金将不予退还：</w:t>
      </w:r>
    </w:p>
    <w:p w14:paraId="147E21E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）供应商在提交响应文件截止时间后撤回响应文件的；</w:t>
      </w:r>
    </w:p>
    <w:p w14:paraId="09172B90">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）未按规定提交履约保证金的；</w:t>
      </w:r>
    </w:p>
    <w:p w14:paraId="481360C6">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）供应商在响应文件中提供虚假材料的；</w:t>
      </w:r>
    </w:p>
    <w:p w14:paraId="4CBEEA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）除因不可抗力或者磋商文件认可的情形以外，成交供应商不与采购人签订合同的；</w:t>
      </w:r>
    </w:p>
    <w:p w14:paraId="523452F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）供应商与采购人、其他供应商或者采购代理机构恶意串通的；</w:t>
      </w:r>
    </w:p>
    <w:p w14:paraId="62BBD964">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）法律法规规定的其他情形。</w:t>
      </w:r>
    </w:p>
    <w:p w14:paraId="1612EFF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18.</w:t>
      </w:r>
      <w:r>
        <w:rPr>
          <w:rFonts w:hint="eastAsia" w:ascii="黑体" w:hAnsi="黑体" w:eastAsia="黑体" w:cs="宋体"/>
          <w:b/>
          <w:bCs/>
          <w:color w:val="000000" w:themeColor="text1"/>
          <w:sz w:val="24"/>
          <w14:textFill>
            <w14:solidFill>
              <w14:schemeClr w14:val="tx1"/>
            </w14:solidFill>
          </w14:textFill>
        </w:rPr>
        <w:t>响应文件编制的要求</w:t>
      </w:r>
    </w:p>
    <w:p w14:paraId="18F9F41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18.1</w:t>
      </w:r>
      <w:r>
        <w:rPr>
          <w:rFonts w:hint="eastAsia" w:ascii="宋体" w:hAnsi="宋体" w:cs="宋体"/>
          <w:color w:val="000000" w:themeColor="text1"/>
          <w:szCs w:val="21"/>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216B1AE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18.2</w:t>
      </w:r>
      <w:r>
        <w:rPr>
          <w:rFonts w:hint="eastAsia" w:ascii="宋体" w:hAnsi="宋体" w:cs="宋体"/>
          <w:color w:val="000000" w:themeColor="text1"/>
          <w:szCs w:val="21"/>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09D7D8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响应文件须由供应商在规定位置签字、盖章（具体以供应商须知前附表或响应文件格式规定为准），否则按无效响应处理。</w:t>
      </w:r>
    </w:p>
    <w:p w14:paraId="36319B4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043D043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56C57E4B">
      <w:pPr>
        <w:spacing w:line="360" w:lineRule="auto"/>
        <w:ind w:firstLine="482" w:firstLineChars="200"/>
        <w:rPr>
          <w:rFonts w:ascii="黑体" w:hAnsi="黑体" w:eastAsia="黑体"/>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19.</w:t>
      </w:r>
      <w:r>
        <w:rPr>
          <w:rFonts w:hint="eastAsia" w:ascii="黑体" w:hAnsi="黑体" w:eastAsia="黑体" w:cs="宋体"/>
          <w:b/>
          <w:bCs/>
          <w:color w:val="000000" w:themeColor="text1"/>
          <w:sz w:val="24"/>
          <w14:textFill>
            <w14:solidFill>
              <w14:schemeClr w14:val="tx1"/>
            </w14:solidFill>
          </w14:textFill>
        </w:rPr>
        <w:t>电子</w:t>
      </w:r>
      <w:r>
        <w:rPr>
          <w:rFonts w:hint="eastAsia" w:ascii="黑体" w:hAnsi="黑体" w:eastAsia="黑体"/>
          <w:b/>
          <w:color w:val="000000" w:themeColor="text1"/>
          <w:sz w:val="24"/>
          <w14:textFill>
            <w14:solidFill>
              <w14:schemeClr w14:val="tx1"/>
            </w14:solidFill>
          </w14:textFill>
        </w:rPr>
        <w:t>备份响应文件</w:t>
      </w:r>
    </w:p>
    <w:p w14:paraId="24BA6802">
      <w:pPr>
        <w:spacing w:line="360" w:lineRule="auto"/>
        <w:ind w:firstLine="420" w:firstLineChars="200"/>
        <w:rPr>
          <w:rFonts w:asci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电子备份响应文件是指通过“政采云电子投标客户端”在线编制生成且后缀名为“</w:t>
      </w:r>
      <w:r>
        <w:rPr>
          <w:color w:val="000000" w:themeColor="text1"/>
          <w14:textFill>
            <w14:solidFill>
              <w14:schemeClr w14:val="tx1"/>
            </w14:solidFill>
          </w14:textFill>
        </w:rPr>
        <w:t>bfbs</w:t>
      </w:r>
      <w:r>
        <w:rPr>
          <w:rFonts w:hint="eastAsia"/>
          <w:color w:val="000000" w:themeColor="text1"/>
          <w14:textFill>
            <w14:solidFill>
              <w14:schemeClr w14:val="tx1"/>
            </w14:solidFill>
          </w14:textFill>
        </w:rPr>
        <w:t>”的文件，是否接受电子备份响应文件</w:t>
      </w:r>
      <w:r>
        <w:rPr>
          <w:rFonts w:hint="eastAsia" w:hAnsi="宋体"/>
          <w:bCs/>
          <w:color w:val="000000" w:themeColor="text1"/>
          <w:szCs w:val="21"/>
          <w14:textFill>
            <w14:solidFill>
              <w14:schemeClr w14:val="tx1"/>
            </w14:solidFill>
          </w14:textFill>
        </w:rPr>
        <w:t>详见在“供应商须知前附表”。</w:t>
      </w:r>
    </w:p>
    <w:p w14:paraId="2532FCE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20.</w:t>
      </w:r>
      <w:r>
        <w:rPr>
          <w:rFonts w:hint="eastAsia" w:ascii="黑体" w:hAnsi="黑体" w:eastAsia="黑体" w:cs="宋体"/>
          <w:b/>
          <w:bCs/>
          <w:color w:val="000000" w:themeColor="text1"/>
          <w:sz w:val="24"/>
          <w14:textFill>
            <w14:solidFill>
              <w14:schemeClr w14:val="tx1"/>
            </w14:solidFill>
          </w14:textFill>
        </w:rPr>
        <w:t>响应文件的提交</w:t>
      </w:r>
    </w:p>
    <w:p w14:paraId="17841B50">
      <w:pPr>
        <w:spacing w:line="360" w:lineRule="auto"/>
        <w:ind w:firstLine="420" w:firstLineChars="200"/>
        <w:rPr>
          <w:rFonts w:hAnsi="宋体"/>
          <w:b/>
          <w:color w:val="000000" w:themeColor="text1"/>
          <w14:textFill>
            <w14:solidFill>
              <w14:schemeClr w14:val="tx1"/>
            </w14:solidFill>
          </w14:textFill>
        </w:rPr>
      </w:pPr>
      <w:r>
        <w:rPr>
          <w:rFonts w:hAnsi="宋体"/>
          <w:bCs/>
          <w:color w:val="000000" w:themeColor="text1"/>
          <w:szCs w:val="21"/>
          <w14:textFill>
            <w14:solidFill>
              <w14:schemeClr w14:val="tx1"/>
            </w14:solidFill>
          </w14:textFill>
        </w:rPr>
        <w:t>20.1</w:t>
      </w:r>
      <w:r>
        <w:rPr>
          <w:rFonts w:hint="eastAsia" w:hAnsi="宋体"/>
          <w:bCs/>
          <w:color w:val="000000" w:themeColor="text1"/>
          <w:szCs w:val="21"/>
          <w14:textFill>
            <w14:solidFill>
              <w14:schemeClr w14:val="tx1"/>
            </w14:solidFill>
          </w14:textFill>
        </w:rPr>
        <w:t>供应商必须按“供应商须知前附表”规定的</w:t>
      </w:r>
      <w:r>
        <w:rPr>
          <w:rFonts w:hint="eastAsia" w:ascii="宋体" w:hAnsi="宋体" w:cs="宋体"/>
          <w:color w:val="000000" w:themeColor="text1"/>
          <w:szCs w:val="21"/>
          <w14:textFill>
            <w14:solidFill>
              <w14:schemeClr w14:val="tx1"/>
            </w14:solidFill>
          </w14:textFill>
        </w:rPr>
        <w:t>时间</w:t>
      </w:r>
      <w:r>
        <w:rPr>
          <w:rFonts w:hint="eastAsia" w:ascii="宋体" w:hAnsi="宋体"/>
          <w:color w:val="000000" w:themeColor="text1"/>
          <w:szCs w:val="21"/>
          <w14:textFill>
            <w14:solidFill>
              <w14:schemeClr w14:val="tx1"/>
            </w14:solidFill>
          </w14:textFill>
        </w:rPr>
        <w:t>及</w:t>
      </w:r>
      <w:r>
        <w:rPr>
          <w:rFonts w:hint="eastAsia" w:hAnsi="宋体"/>
          <w:bCs/>
          <w:color w:val="000000" w:themeColor="text1"/>
          <w:szCs w:val="21"/>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Cs w:val="21"/>
          <w14:textFill>
            <w14:solidFill>
              <w14:schemeClr w14:val="tx1"/>
            </w14:solidFill>
          </w14:textFill>
        </w:rPr>
        <w:t>CA</w:t>
      </w:r>
      <w:r>
        <w:rPr>
          <w:rFonts w:hint="eastAsia" w:hAnsi="宋体"/>
          <w:bCs/>
          <w:color w:val="000000" w:themeColor="text1"/>
          <w:szCs w:val="21"/>
          <w14:textFill>
            <w14:solidFill>
              <w14:schemeClr w14:val="tx1"/>
            </w14:solidFill>
          </w14:textFill>
        </w:rPr>
        <w:t>认证锁）进行电子签章、加密，然后通过网络将加密的电子响应文件提交至</w:t>
      </w:r>
      <w:r>
        <w:rPr>
          <w:rFonts w:hint="eastAsia" w:ascii="宋体" w:hAnsi="宋体"/>
          <w:color w:val="000000" w:themeColor="text1"/>
          <w:szCs w:val="21"/>
          <w14:textFill>
            <w14:solidFill>
              <w14:schemeClr w14:val="tx1"/>
            </w14:solidFill>
          </w14:textFill>
        </w:rPr>
        <w:t>“政采云”平台</w:t>
      </w:r>
      <w:r>
        <w:rPr>
          <w:rFonts w:hint="eastAsia" w:hAnsi="宋体"/>
          <w:bCs/>
          <w:color w:val="000000" w:themeColor="text1"/>
          <w:szCs w:val="21"/>
          <w14:textFill>
            <w14:solidFill>
              <w14:schemeClr w14:val="tx1"/>
            </w14:solidFill>
          </w14:textFill>
        </w:rPr>
        <w:t>。</w:t>
      </w:r>
    </w:p>
    <w:p w14:paraId="2E70071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20.2</w:t>
      </w:r>
      <w:r>
        <w:rPr>
          <w:rFonts w:hint="eastAsia" w:ascii="宋体" w:hAnsi="宋体"/>
          <w:color w:val="000000" w:themeColor="text1"/>
          <w:szCs w:val="21"/>
          <w14:textFill>
            <w14:solidFill>
              <w14:schemeClr w14:val="tx1"/>
            </w14:solidFill>
          </w14:textFill>
        </w:rPr>
        <w:t>未在规定时间内提交或者未按照磋商文件要求加密的电子响应文件，“政采云”平台将拒收。</w:t>
      </w:r>
    </w:p>
    <w:p w14:paraId="37F8398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21.</w:t>
      </w:r>
      <w:r>
        <w:rPr>
          <w:rFonts w:hint="eastAsia" w:ascii="黑体" w:hAnsi="黑体" w:eastAsia="黑体" w:cs="宋体"/>
          <w:b/>
          <w:bCs/>
          <w:color w:val="000000" w:themeColor="text1"/>
          <w:sz w:val="24"/>
          <w14:textFill>
            <w14:solidFill>
              <w14:schemeClr w14:val="tx1"/>
            </w14:solidFill>
          </w14:textFill>
        </w:rPr>
        <w:t>首次响应文件的补充、修改与撤回</w:t>
      </w:r>
    </w:p>
    <w:p w14:paraId="442ED30D">
      <w:pPr>
        <w:spacing w:line="360" w:lineRule="auto"/>
        <w:ind w:firstLine="420" w:firstLineChars="200"/>
        <w:rPr>
          <w:rFonts w:hAnsi="宋体"/>
          <w:bCs/>
          <w:color w:val="000000" w:themeColor="text1"/>
          <w:szCs w:val="21"/>
          <w14:textFill>
            <w14:solidFill>
              <w14:schemeClr w14:val="tx1"/>
            </w14:solidFill>
          </w14:textFill>
        </w:rPr>
      </w:pPr>
      <w:bookmarkStart w:id="67" w:name="_Toc254970684"/>
      <w:bookmarkStart w:id="68" w:name="_Toc254970543"/>
      <w:r>
        <w:rPr>
          <w:rFonts w:hAnsi="宋体"/>
          <w:bCs/>
          <w:color w:val="000000" w:themeColor="text1"/>
          <w:szCs w:val="21"/>
          <w14:textFill>
            <w14:solidFill>
              <w14:schemeClr w14:val="tx1"/>
            </w14:solidFill>
          </w14:textFill>
        </w:rPr>
        <w:t>21.1</w:t>
      </w:r>
      <w:r>
        <w:rPr>
          <w:rFonts w:hint="eastAsia"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8A2067F">
      <w:pPr>
        <w:pStyle w:val="167"/>
        <w:spacing w:before="0"/>
        <w:ind w:firstLine="420"/>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21</w:t>
      </w:r>
      <w:r>
        <w:rPr>
          <w:rFonts w:asci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在提交响应文件截止时间前，除供应商补充、修改或者撤回响应文件外，任何单位和个人不得解密或提取响应文件。</w:t>
      </w:r>
    </w:p>
    <w:p w14:paraId="40ED123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bookmarkStart w:id="69" w:name="_Hlk45702405"/>
      <w:r>
        <w:rPr>
          <w:rFonts w:ascii="黑体" w:hAnsi="黑体" w:eastAsia="黑体" w:cs="宋体"/>
          <w:b/>
          <w:bCs/>
          <w:color w:val="000000" w:themeColor="text1"/>
          <w:sz w:val="24"/>
          <w14:textFill>
            <w14:solidFill>
              <w14:schemeClr w14:val="tx1"/>
            </w14:solidFill>
          </w14:textFill>
        </w:rPr>
        <w:t>22.</w:t>
      </w:r>
      <w:r>
        <w:rPr>
          <w:rFonts w:hint="eastAsia" w:ascii="黑体" w:hAnsi="黑体" w:eastAsia="黑体" w:cs="宋体"/>
          <w:b/>
          <w:bCs/>
          <w:color w:val="000000" w:themeColor="text1"/>
          <w:sz w:val="24"/>
          <w14:textFill>
            <w14:solidFill>
              <w14:schemeClr w14:val="tx1"/>
            </w14:solidFill>
          </w14:textFill>
        </w:rPr>
        <w:t>响应文件的退回</w:t>
      </w:r>
    </w:p>
    <w:p w14:paraId="737F2D4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采购人和采购代理机构对已提交的响应文件概不退回。</w:t>
      </w:r>
    </w:p>
    <w:p w14:paraId="589CE3F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23.</w:t>
      </w:r>
      <w:r>
        <w:rPr>
          <w:rFonts w:hint="eastAsia" w:ascii="黑体" w:hAnsi="黑体" w:eastAsia="黑体" w:cs="宋体"/>
          <w:b/>
          <w:bCs/>
          <w:color w:val="000000" w:themeColor="text1"/>
          <w:sz w:val="24"/>
          <w14:textFill>
            <w14:solidFill>
              <w14:schemeClr w14:val="tx1"/>
            </w14:solidFill>
          </w14:textFill>
        </w:rPr>
        <w:t>截止时间后的撤回</w:t>
      </w:r>
    </w:p>
    <w:p w14:paraId="6EB42E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条的规定不予退还其磋商保证金。</w:t>
      </w:r>
    </w:p>
    <w:bookmarkEnd w:id="69"/>
    <w:p w14:paraId="2EA555CE">
      <w:pPr>
        <w:spacing w:line="360" w:lineRule="auto"/>
        <w:rPr>
          <w:rFonts w:ascii="宋体"/>
          <w:color w:val="000000" w:themeColor="text1"/>
          <w:szCs w:val="21"/>
          <w14:textFill>
            <w14:solidFill>
              <w14:schemeClr w14:val="tx1"/>
            </w14:solidFill>
          </w14:textFill>
        </w:rPr>
      </w:pPr>
    </w:p>
    <w:p w14:paraId="2B462F58">
      <w:pPr>
        <w:spacing w:line="360" w:lineRule="auto"/>
        <w:ind w:left="420" w:firstLine="420"/>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四、评审及磋商</w:t>
      </w:r>
    </w:p>
    <w:p w14:paraId="068B0312">
      <w:pPr>
        <w:spacing w:line="360" w:lineRule="auto"/>
        <w:ind w:left="420" w:firstLine="420"/>
        <w:rPr>
          <w:rFonts w:ascii="宋体"/>
          <w:color w:val="000000" w:themeColor="text1"/>
          <w:szCs w:val="21"/>
          <w14:textFill>
            <w14:solidFill>
              <w14:schemeClr w14:val="tx1"/>
            </w14:solidFill>
          </w14:textFill>
        </w:rPr>
      </w:pPr>
    </w:p>
    <w:p w14:paraId="2545F7E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24.</w:t>
      </w:r>
      <w:r>
        <w:rPr>
          <w:rFonts w:hint="eastAsia" w:ascii="黑体" w:hAnsi="黑体" w:eastAsia="黑体" w:cs="宋体"/>
          <w:b/>
          <w:bCs/>
          <w:color w:val="000000" w:themeColor="text1"/>
          <w:sz w:val="24"/>
          <w14:textFill>
            <w14:solidFill>
              <w14:schemeClr w14:val="tx1"/>
            </w14:solidFill>
          </w14:textFill>
        </w:rPr>
        <w:t>磋商小组成立</w:t>
      </w:r>
    </w:p>
    <w:p w14:paraId="76EA88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磋商小组由采购人代表和评审专家共</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。采购人代表不得以评审专家身份参加本部门或者本单位采购项目的评审。采购代理机构人员不得参加本机构代理的采购项目的评审。</w:t>
      </w:r>
    </w:p>
    <w:p w14:paraId="19C12EA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名法律专家。</w:t>
      </w:r>
    </w:p>
    <w:p w14:paraId="52ECE74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24.3</w:t>
      </w:r>
      <w:r>
        <w:rPr>
          <w:rFonts w:hint="eastAsia" w:hAnsi="宋体"/>
          <w:bCs/>
          <w:color w:val="000000" w:themeColor="text1"/>
          <w:szCs w:val="21"/>
          <w14:textFill>
            <w14:solidFill>
              <w14:schemeClr w14:val="tx1"/>
            </w14:solidFill>
          </w14:textFill>
        </w:rPr>
        <w:t>采购代理机构</w:t>
      </w:r>
      <w:r>
        <w:rPr>
          <w:rFonts w:hint="eastAsia" w:hAnsi="宋体"/>
          <w:bCs/>
          <w:color w:val="000000" w:themeColor="text1"/>
          <w14:textFill>
            <w14:solidFill>
              <w14:schemeClr w14:val="tx1"/>
            </w14:solidFill>
          </w14:textFill>
        </w:rPr>
        <w:t>应当</w:t>
      </w:r>
      <w:r>
        <w:rPr>
          <w:rFonts w:hint="eastAsia" w:hAnsi="宋体"/>
          <w:bCs/>
          <w:color w:val="000000" w:themeColor="text1"/>
          <w:szCs w:val="21"/>
          <w14:textFill>
            <w14:solidFill>
              <w14:schemeClr w14:val="tx1"/>
            </w14:solidFill>
          </w14:textFill>
        </w:rPr>
        <w:t>基于“政采云”平台</w:t>
      </w:r>
      <w:r>
        <w:rPr>
          <w:rFonts w:hint="eastAsia" w:hAnsi="宋体"/>
          <w:bCs/>
          <w:color w:val="000000" w:themeColor="text1"/>
          <w14:textFill>
            <w14:solidFill>
              <w14:schemeClr w14:val="tx1"/>
            </w14:solidFill>
          </w14:textFill>
        </w:rPr>
        <w:t>抽（选）取</w:t>
      </w:r>
      <w:r>
        <w:rPr>
          <w:rFonts w:hint="eastAsia" w:hAnsi="宋体"/>
          <w:bCs/>
          <w:color w:val="000000" w:themeColor="text1"/>
          <w:szCs w:val="21"/>
          <w14:textFill>
            <w14:solidFill>
              <w14:schemeClr w14:val="tx1"/>
            </w14:solidFill>
          </w14:textFill>
        </w:rPr>
        <w:t>评审专家。</w:t>
      </w:r>
    </w:p>
    <w:p w14:paraId="0218E3F6">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25.</w:t>
      </w:r>
      <w:r>
        <w:rPr>
          <w:rFonts w:hint="eastAsia" w:ascii="黑体" w:hAnsi="黑体" w:eastAsia="黑体" w:cs="宋体"/>
          <w:b/>
          <w:bCs/>
          <w:color w:val="000000" w:themeColor="text1"/>
          <w:sz w:val="24"/>
          <w14:textFill>
            <w14:solidFill>
              <w14:schemeClr w14:val="tx1"/>
            </w14:solidFill>
          </w14:textFill>
        </w:rPr>
        <w:t>首次响应文件的开启和解密</w:t>
      </w:r>
    </w:p>
    <w:p w14:paraId="7974A14E">
      <w:pPr>
        <w:spacing w:line="360" w:lineRule="auto"/>
        <w:ind w:firstLine="420" w:firstLineChars="200"/>
        <w:rPr>
          <w:rFonts w:ascii="宋体" w:cs="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采购代理机构将在“供应商须知前附表”规定的时</w:t>
      </w:r>
      <w:r>
        <w:rPr>
          <w:rFonts w:hint="eastAsia" w:hAnsi="宋体"/>
          <w:color w:val="000000" w:themeColor="text1"/>
          <w14:textFill>
            <w14:solidFill>
              <w14:schemeClr w14:val="tx1"/>
            </w14:solidFill>
          </w14:textFill>
        </w:rPr>
        <w:t>间通过电子交易平台组织响应文件开启，供应商的法定代表人或其委托代理人须携带加密时所用的</w:t>
      </w:r>
      <w:r>
        <w:rPr>
          <w:rFonts w:hAnsi="宋体"/>
          <w:color w:val="000000" w:themeColor="text1"/>
          <w14:textFill>
            <w14:solidFill>
              <w14:schemeClr w14:val="tx1"/>
            </w14:solidFill>
          </w14:textFill>
        </w:rPr>
        <w:t>CA</w:t>
      </w:r>
      <w:r>
        <w:rPr>
          <w:rFonts w:hint="eastAsia" w:hAnsi="宋体"/>
          <w:color w:val="000000" w:themeColor="text1"/>
          <w14:textFill>
            <w14:solidFill>
              <w14:schemeClr w14:val="tx1"/>
            </w14:solidFill>
          </w14:textFill>
        </w:rPr>
        <w:t>锁，按平台提示和磋商文件的规定登录到“政采云”平台电子开标大厅签到，</w:t>
      </w:r>
      <w:r>
        <w:rPr>
          <w:rFonts w:hint="eastAsia"/>
          <w:color w:val="000000" w:themeColor="text1"/>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Cs w:val="21"/>
          <w14:textFill>
            <w14:solidFill>
              <w14:schemeClr w14:val="tx1"/>
            </w14:solidFill>
          </w14:textFill>
        </w:rPr>
        <w:t>“供应商须知前附表”</w:t>
      </w:r>
      <w:r>
        <w:rPr>
          <w:rFonts w:hint="eastAsia"/>
          <w:color w:val="000000" w:themeColor="text1"/>
          <w14:textFill>
            <w14:solidFill>
              <w14:schemeClr w14:val="tx1"/>
            </w14:solidFill>
          </w14:textFill>
        </w:rPr>
        <w:t>规定的时间内自行进行响应文件解密</w:t>
      </w:r>
      <w:r>
        <w:rPr>
          <w:rFonts w:hint="eastAsia" w:hAnsi="宋体"/>
          <w:color w:val="000000" w:themeColor="text1"/>
          <w14:textFill>
            <w14:solidFill>
              <w14:schemeClr w14:val="tx1"/>
            </w14:solidFill>
          </w14:textFill>
        </w:rPr>
        <w:t>。</w:t>
      </w:r>
      <w:r>
        <w:rPr>
          <w:rFonts w:hint="eastAsia"/>
          <w:b/>
          <w:color w:val="000000" w:themeColor="text1"/>
          <w14:textFill>
            <w14:solidFill>
              <w14:schemeClr w14:val="tx1"/>
            </w14:solidFill>
          </w14:textFill>
        </w:rPr>
        <w:t>供应商未在规定的时间内解密响应文件或者解密失败的，供应商</w:t>
      </w:r>
      <w:r>
        <w:rPr>
          <w:rFonts w:hint="eastAsia" w:ascii="宋体" w:hAnsi="宋体"/>
          <w:b/>
          <w:color w:val="000000" w:themeColor="text1"/>
          <w:szCs w:val="21"/>
          <w14:textFill>
            <w14:solidFill>
              <w14:schemeClr w14:val="tx1"/>
            </w14:solidFill>
          </w14:textFill>
        </w:rPr>
        <w:t>的响应文件按无效处理</w:t>
      </w:r>
      <w:r>
        <w:rPr>
          <w:rFonts w:hint="eastAsia"/>
          <w:b/>
          <w:color w:val="000000" w:themeColor="text1"/>
          <w14:textFill>
            <w14:solidFill>
              <w14:schemeClr w14:val="tx1"/>
            </w14:solidFill>
          </w14:textFill>
        </w:rPr>
        <w:t>。</w:t>
      </w:r>
    </w:p>
    <w:p w14:paraId="4F72B7D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26.</w:t>
      </w:r>
      <w:r>
        <w:rPr>
          <w:rFonts w:hint="eastAsia" w:ascii="黑体" w:hAnsi="黑体" w:eastAsia="黑体" w:cs="宋体"/>
          <w:b/>
          <w:bCs/>
          <w:color w:val="000000" w:themeColor="text1"/>
          <w:sz w:val="24"/>
          <w14:textFill>
            <w14:solidFill>
              <w14:schemeClr w14:val="tx1"/>
            </w14:solidFill>
          </w14:textFill>
        </w:rPr>
        <w:t>评审程序、评审方法和评审标准</w:t>
      </w:r>
    </w:p>
    <w:p w14:paraId="246E3C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26.1</w:t>
      </w:r>
      <w:r>
        <w:rPr>
          <w:rFonts w:hint="eastAsia" w:ascii="宋体" w:hAnsi="宋体" w:cs="宋体"/>
          <w:color w:val="000000" w:themeColor="text1"/>
          <w:szCs w:val="21"/>
          <w14:textFill>
            <w14:solidFill>
              <w14:schemeClr w14:val="tx1"/>
            </w14:solidFill>
          </w14:textFill>
        </w:rPr>
        <w:t>本项目的评审方法为综合评分法。</w:t>
      </w:r>
    </w:p>
    <w:p w14:paraId="29E85D4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26.2</w:t>
      </w:r>
      <w:r>
        <w:rPr>
          <w:rFonts w:hint="eastAsia" w:ascii="宋体" w:hAnsi="宋体" w:cs="宋体"/>
          <w:color w:val="000000" w:themeColor="text1"/>
          <w:szCs w:val="21"/>
          <w14:textFill>
            <w14:solidFill>
              <w14:schemeClr w14:val="tx1"/>
            </w14:solidFill>
          </w14:textFill>
        </w:rPr>
        <w:t>磋商小组按照“第四章评审程序、评审方法和评审标准”规定的方法、评审因素、标准和程序对响应文件进行评审并推荐成交候选供应商。</w:t>
      </w:r>
    </w:p>
    <w:p w14:paraId="2779FB4F">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26.3 </w:t>
      </w:r>
      <w:r>
        <w:rPr>
          <w:rFonts w:hint="eastAsia" w:ascii="宋体" w:hAnsi="宋体"/>
          <w:color w:val="000000" w:themeColor="text1"/>
          <w:szCs w:val="21"/>
          <w14:textFill>
            <w14:solidFill>
              <w14:schemeClr w14:val="tx1"/>
            </w14:solidFill>
          </w14:textFill>
        </w:rPr>
        <w:t>商务</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技术要求允许负偏离的条款数详见“供应商须知前附表”。</w:t>
      </w:r>
    </w:p>
    <w:p w14:paraId="7E2B41DF">
      <w:pPr>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26.4</w:t>
      </w:r>
      <w:r>
        <w:rPr>
          <w:rFonts w:hint="eastAsia" w:ascii="宋体" w:hAnsi="宋体" w:cs="宋体"/>
          <w:color w:val="000000" w:themeColor="text1"/>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4977CFF">
      <w:pPr>
        <w:spacing w:line="360" w:lineRule="auto"/>
        <w:ind w:firstLine="420" w:firstLineChars="200"/>
        <w:rPr>
          <w:rFonts w:hAnsi="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26.5</w:t>
      </w:r>
      <w:r>
        <w:rPr>
          <w:rFonts w:hint="eastAsia" w:hAnsi="宋体"/>
          <w:color w:val="000000" w:themeColor="text1"/>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5F70831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）电子交易平台发生故障而无法登录访问的；</w:t>
      </w:r>
    </w:p>
    <w:p w14:paraId="2F2735E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）电子交易平台应用或数据库出现错误，不能进行正常操作的；</w:t>
      </w:r>
    </w:p>
    <w:p w14:paraId="57AC0CF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）电子交易平台发现严重安全漏洞，有潜在泄密危险的；</w:t>
      </w:r>
    </w:p>
    <w:p w14:paraId="30B14A0B">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）病毒发作导致不能进行正常操作的；</w:t>
      </w:r>
    </w:p>
    <w:p w14:paraId="1B6DA92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5</w:t>
      </w:r>
      <w:r>
        <w:rPr>
          <w:rFonts w:hint="eastAsia" w:hAnsi="宋体"/>
          <w:color w:val="000000" w:themeColor="text1"/>
          <w14:textFill>
            <w14:solidFill>
              <w14:schemeClr w14:val="tx1"/>
            </w14:solidFill>
          </w14:textFill>
        </w:rPr>
        <w:t>）其他无法保证电子交易的公平、公正和安全的情况。</w:t>
      </w:r>
    </w:p>
    <w:p w14:paraId="7D0FBE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26.6</w:t>
      </w:r>
      <w:r>
        <w:rPr>
          <w:rFonts w:hint="eastAsia" w:hAnsi="宋体"/>
          <w:color w:val="000000" w:themeColor="text1"/>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365BE1F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27.</w:t>
      </w:r>
      <w:r>
        <w:rPr>
          <w:rFonts w:hint="eastAsia" w:ascii="黑体" w:hAnsi="黑体" w:eastAsia="黑体" w:cs="宋体"/>
          <w:b/>
          <w:bCs/>
          <w:color w:val="000000" w:themeColor="text1"/>
          <w:sz w:val="24"/>
          <w14:textFill>
            <w14:solidFill>
              <w14:schemeClr w14:val="tx1"/>
            </w14:solidFill>
          </w14:textFill>
        </w:rPr>
        <w:t>确定成交供应商及结果公告</w:t>
      </w:r>
    </w:p>
    <w:p w14:paraId="6258AEC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采购代理机构应当在评审结束后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个工作日内将评审报告送采购人确认。采购人应当在收到评审报告后</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45ABED">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采购代理机构应当在</w:t>
      </w:r>
      <w:r>
        <w:rPr>
          <w:rFonts w:hint="eastAsia" w:ascii="宋体" w:hAnsi="宋体" w:cs="宋体"/>
          <w:color w:val="000000" w:themeColor="text1"/>
          <w:kern w:val="0"/>
          <w:szCs w:val="21"/>
          <w14:textFill>
            <w14:solidFill>
              <w14:schemeClr w14:val="tx1"/>
            </w14:solidFill>
          </w14:textFill>
        </w:rPr>
        <w:t>成交</w:t>
      </w:r>
      <w:r>
        <w:rPr>
          <w:rFonts w:hint="eastAsia" w:ascii="宋体" w:hAnsi="宋体" w:cs="宋体"/>
          <w:color w:val="000000" w:themeColor="text1"/>
          <w:szCs w:val="21"/>
          <w14:textFill>
            <w14:solidFill>
              <w14:schemeClr w14:val="tx1"/>
            </w14:solidFill>
          </w14:textFill>
        </w:rPr>
        <w:t>供应商确定后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Cs w:val="21"/>
          <w14:textFill>
            <w14:solidFill>
              <w14:schemeClr w14:val="tx1"/>
            </w14:solidFill>
          </w14:textFill>
        </w:rPr>
        <w:t>成交供应商享受</w:t>
      </w:r>
      <w:r>
        <w:rPr>
          <w:rFonts w:hint="eastAsia" w:ascii="宋体" w:hAnsi="宋体"/>
          <w:color w:val="000000" w:themeColor="text1"/>
          <w:szCs w:val="21"/>
          <w14:textFill>
            <w14:solidFill>
              <w14:schemeClr w14:val="tx1"/>
            </w14:solidFill>
          </w14:textFill>
        </w:rPr>
        <w:t>《政府采购促进中小企业发展管理办法》（财库〔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号）规定的中小企业扶持</w:t>
      </w:r>
      <w:r>
        <w:rPr>
          <w:rFonts w:hint="eastAsia" w:ascii="宋体" w:hAnsi="宋体" w:cs="Courier New"/>
          <w:color w:val="000000" w:themeColor="text1"/>
          <w:szCs w:val="21"/>
          <w14:textFill>
            <w14:solidFill>
              <w14:schemeClr w14:val="tx1"/>
            </w14:solidFill>
          </w14:textFill>
        </w:rPr>
        <w:t>政策的，采购人、采购代理机构应当随成交结果公开成交供应商的《中小企业声明函》。</w:t>
      </w:r>
      <w:bookmarkEnd w:id="70"/>
    </w:p>
    <w:p w14:paraId="271BEFE4">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27.3</w:t>
      </w:r>
      <w:r>
        <w:rPr>
          <w:rFonts w:hint="eastAsia" w:ascii="宋体" w:hAnsi="宋体" w:cs="Courier New"/>
          <w:color w:val="000000" w:themeColor="text1"/>
          <w:szCs w:val="21"/>
          <w14:textFill>
            <w14:solidFill>
              <w14:schemeClr w14:val="tx1"/>
            </w14:solidFill>
          </w14:textFill>
        </w:rPr>
        <w:t>出现下列情形之一的，采购人或者采购代理机构应当终止竞争性磋商采购活动，发布项目终止公告并说明原因，重新开展采购活动：</w:t>
      </w:r>
    </w:p>
    <w:p w14:paraId="68C3BCA4">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）因情况变化，不再符合规定的竞争性磋商采购方式适用情形的；</w:t>
      </w:r>
    </w:p>
    <w:p w14:paraId="312CCB21">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2</w:t>
      </w:r>
      <w:r>
        <w:rPr>
          <w:rFonts w:hint="eastAsia" w:ascii="宋体" w:hAnsi="宋体" w:cs="Courier New"/>
          <w:color w:val="000000" w:themeColor="text1"/>
          <w:szCs w:val="21"/>
          <w14:textFill>
            <w14:solidFill>
              <w14:schemeClr w14:val="tx1"/>
            </w14:solidFill>
          </w14:textFill>
        </w:rPr>
        <w:t>）出现影响采购公正的违法、违规行为的；</w:t>
      </w:r>
    </w:p>
    <w:p w14:paraId="6E9D15A7">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）除“第四章评审程序、评审方法和评审标准”第</w:t>
      </w:r>
      <w:r>
        <w:rPr>
          <w:rFonts w:ascii="宋体" w:hAnsi="宋体" w:cs="Courier New"/>
          <w:color w:val="000000" w:themeColor="text1"/>
          <w:szCs w:val="21"/>
          <w14:textFill>
            <w14:solidFill>
              <w14:schemeClr w14:val="tx1"/>
            </w14:solidFill>
          </w14:textFill>
        </w:rPr>
        <w:t>4.3</w:t>
      </w:r>
      <w:r>
        <w:rPr>
          <w:rFonts w:hint="eastAsia" w:ascii="宋体" w:hAnsi="宋体" w:cs="Courier New"/>
          <w:color w:val="000000" w:themeColor="text1"/>
          <w:szCs w:val="21"/>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家的。</w:t>
      </w:r>
    </w:p>
    <w:p w14:paraId="3FAD78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 xml:space="preserve">27.4 </w:t>
      </w:r>
      <w:r>
        <w:rPr>
          <w:rFonts w:hint="eastAsia" w:ascii="宋体" w:hAnsi="宋体" w:cs="Courier New"/>
          <w:color w:val="000000" w:themeColor="text1"/>
          <w:szCs w:val="21"/>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DB9AFE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28.</w:t>
      </w:r>
      <w:r>
        <w:rPr>
          <w:rFonts w:hint="eastAsia" w:ascii="黑体" w:hAnsi="黑体" w:eastAsia="黑体" w:cs="宋体"/>
          <w:b/>
          <w:bCs/>
          <w:color w:val="000000" w:themeColor="text1"/>
          <w:sz w:val="24"/>
          <w14:textFill>
            <w14:solidFill>
              <w14:schemeClr w14:val="tx1"/>
            </w14:solidFill>
          </w14:textFill>
        </w:rPr>
        <w:t>履约保证金</w:t>
      </w:r>
    </w:p>
    <w:p w14:paraId="4DC2C8B3">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r>
        <w:rPr>
          <w:rFonts w:hint="eastAsia" w:ascii="宋体" w:hAnsi="宋体" w:cs="宋体"/>
          <w:color w:val="000000" w:themeColor="text1"/>
          <w:szCs w:val="21"/>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14:textFill>
            <w14:solidFill>
              <w14:schemeClr w14:val="tx1"/>
            </w14:solidFill>
          </w14:textFill>
        </w:rPr>
        <w:t>与采购人</w:t>
      </w:r>
      <w:r>
        <w:rPr>
          <w:rFonts w:hint="eastAsia" w:ascii="宋体" w:hAnsi="宋体" w:cs="宋体"/>
          <w:color w:val="000000" w:themeColor="text1"/>
          <w:szCs w:val="21"/>
          <w14:textFill>
            <w14:solidFill>
              <w14:schemeClr w14:val="tx1"/>
            </w14:solidFill>
          </w14:textFill>
        </w:rPr>
        <w:t>签订合同。</w:t>
      </w:r>
    </w:p>
    <w:p w14:paraId="3241969C">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2807EAA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29.</w:t>
      </w:r>
      <w:r>
        <w:rPr>
          <w:rFonts w:hint="eastAsia" w:ascii="黑体" w:hAnsi="黑体" w:eastAsia="黑体" w:cs="宋体"/>
          <w:b/>
          <w:bCs/>
          <w:color w:val="000000" w:themeColor="text1"/>
          <w:sz w:val="24"/>
          <w14:textFill>
            <w14:solidFill>
              <w14:schemeClr w14:val="tx1"/>
            </w14:solidFill>
          </w14:textFill>
        </w:rPr>
        <w:t>签订合同</w:t>
      </w:r>
    </w:p>
    <w:p w14:paraId="32364BE2">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签订电子采购合同：成交供应商领取电子成交通知书后，在</w:t>
      </w:r>
      <w:r>
        <w:rPr>
          <w:rFonts w:hint="eastAsia" w:ascii="宋体" w:hAnsi="宋体" w:cs="宋体"/>
          <w:color w:val="000000" w:themeColor="text1"/>
          <w:szCs w:val="21"/>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6EBFDD64">
      <w:pPr>
        <w:spacing w:line="360" w:lineRule="auto"/>
        <w:ind w:firstLine="424" w:firstLineChars="202"/>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线下签订纸质合同：供应商领取成交通知书后，按“供应商须知前附表”规定向采购人出示相关证明材料，经采购人核验合格后方可签订合同。</w:t>
      </w:r>
    </w:p>
    <w:p w14:paraId="4B0ADDDF">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29.2</w:t>
      </w:r>
      <w:r>
        <w:rPr>
          <w:rFonts w:hint="eastAsia" w:ascii="宋体" w:hAnsi="宋体" w:cs="宋体"/>
          <w:color w:val="000000" w:themeColor="text1"/>
          <w:szCs w:val="21"/>
          <w14:textFill>
            <w14:solidFill>
              <w14:schemeClr w14:val="tx1"/>
            </w14:solidFill>
          </w14:textFill>
        </w:rPr>
        <w:t>签订合同时间：按成交通知书规定的时间与采购人签订合同。</w:t>
      </w:r>
    </w:p>
    <w:p w14:paraId="4E6AEDA5">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29.3</w:t>
      </w:r>
      <w:r>
        <w:rPr>
          <w:rFonts w:hint="eastAsia" w:ascii="宋体" w:hAnsi="宋体" w:cs="宋体"/>
          <w:color w:val="000000" w:themeColor="text1"/>
          <w:szCs w:val="21"/>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23D3160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29.4</w:t>
      </w:r>
      <w:r>
        <w:rPr>
          <w:rFonts w:hint="eastAsia" w:ascii="宋体" w:hAnsi="宋体" w:cs="宋体"/>
          <w:color w:val="000000" w:themeColor="text1"/>
          <w:szCs w:val="21"/>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78FB551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29.5</w:t>
      </w:r>
      <w:r>
        <w:rPr>
          <w:rFonts w:hint="eastAsia" w:ascii="宋体" w:hAnsi="宋体" w:cs="宋体"/>
          <w:color w:val="000000" w:themeColor="text1"/>
          <w:szCs w:val="21"/>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235108B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29.6</w:t>
      </w:r>
      <w:r>
        <w:rPr>
          <w:rFonts w:hint="eastAsia" w:ascii="宋体" w:hAnsi="宋体" w:cs="宋体"/>
          <w:color w:val="000000" w:themeColor="text1"/>
          <w:szCs w:val="21"/>
          <w14:textFill>
            <w14:solidFill>
              <w14:schemeClr w14:val="tx1"/>
            </w14:solidFill>
          </w14:textFill>
        </w:rPr>
        <w:t>如签订合同并生效后，供应商无故拒绝或延期，除按照合同条款处理外，将承担相应的法律责任。</w:t>
      </w:r>
    </w:p>
    <w:p w14:paraId="75A9A82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29.7</w:t>
      </w:r>
      <w:r>
        <w:rPr>
          <w:rFonts w:hint="eastAsia" w:ascii="宋体" w:hAnsi="宋体" w:cs="宋体"/>
          <w:color w:val="000000" w:themeColor="text1"/>
          <w:szCs w:val="21"/>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p>
    <w:p w14:paraId="3AE348F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30.</w:t>
      </w:r>
      <w:r>
        <w:rPr>
          <w:rFonts w:hint="eastAsia" w:ascii="黑体" w:hAnsi="黑体" w:eastAsia="黑体" w:cs="宋体"/>
          <w:b/>
          <w:bCs/>
          <w:color w:val="000000" w:themeColor="text1"/>
          <w:sz w:val="24"/>
          <w14:textFill>
            <w14:solidFill>
              <w14:schemeClr w14:val="tx1"/>
            </w14:solidFill>
          </w14:textFill>
        </w:rPr>
        <w:t>政府采购合同公告</w:t>
      </w:r>
    </w:p>
    <w:p w14:paraId="404C05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个工作日内，将政府采购合同在省级以上人民政府财政部门指定的媒体上公告，但政府采购合同中涉及国家秘密、商业秘密的内容除外。</w:t>
      </w:r>
    </w:p>
    <w:p w14:paraId="47FFA9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31. </w:t>
      </w:r>
      <w:r>
        <w:rPr>
          <w:rFonts w:hint="eastAsia" w:ascii="黑体" w:hAnsi="黑体" w:eastAsia="黑体" w:cs="宋体"/>
          <w:b/>
          <w:bCs/>
          <w:color w:val="000000" w:themeColor="text1"/>
          <w:sz w:val="24"/>
          <w14:textFill>
            <w14:solidFill>
              <w14:schemeClr w14:val="tx1"/>
            </w14:solidFill>
          </w14:textFill>
        </w:rPr>
        <w:t>询问、质疑和投诉</w:t>
      </w:r>
    </w:p>
    <w:p w14:paraId="0B519A70">
      <w:pPr>
        <w:pStyle w:val="13"/>
        <w:spacing w:line="360" w:lineRule="auto"/>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31.1</w:t>
      </w:r>
      <w:r>
        <w:rPr>
          <w:rFonts w:hint="eastAsia" w:ascii="宋体" w:hAnsi="宋体" w:cs="宋体"/>
          <w:color w:val="000000" w:themeColor="text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个工作日内对供应商依法提出的询问作出答复，</w:t>
      </w:r>
      <w:r>
        <w:rPr>
          <w:rFonts w:hint="eastAsia" w:ascii="宋体" w:hAnsi="宋体"/>
          <w:color w:val="000000" w:themeColor="text1"/>
          <w:szCs w:val="21"/>
          <w14:textFill>
            <w14:solidFill>
              <w14:schemeClr w14:val="tx1"/>
            </w14:solidFill>
          </w14:textFill>
        </w:rPr>
        <w:t>但答复的内容不得涉及商业秘密</w:t>
      </w:r>
      <w:r>
        <w:rPr>
          <w:rFonts w:hint="eastAsia" w:ascii="宋体" w:hAnsi="宋体" w:cs="宋体"/>
          <w:color w:val="000000" w:themeColor="text1"/>
          <w14:textFill>
            <w14:solidFill>
              <w14:schemeClr w14:val="tx1"/>
            </w14:solidFill>
          </w14:textFill>
        </w:rPr>
        <w:t>。</w:t>
      </w:r>
    </w:p>
    <w:p w14:paraId="3818F629">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31.2</w:t>
      </w:r>
      <w:r>
        <w:rPr>
          <w:rFonts w:hint="eastAsia" w:ascii="宋体" w:hAnsi="宋体" w:cs="宋体"/>
          <w:color w:val="000000" w:themeColor="text1"/>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个工作日内，以书面形式向采购人、采购代理机构提出质疑，</w:t>
      </w:r>
      <w:r>
        <w:rPr>
          <w:rFonts w:hint="eastAsia" w:ascii="宋体" w:hAnsi="宋体" w:cs="Arial"/>
          <w:color w:val="000000" w:themeColor="text1"/>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Cs w:val="21"/>
          <w14:textFill>
            <w14:solidFill>
              <w14:schemeClr w14:val="tx1"/>
            </w14:solidFill>
          </w14:textFill>
        </w:rPr>
        <w:t>“供应商须知前附表”</w:t>
      </w:r>
      <w:r>
        <w:rPr>
          <w:rFonts w:hint="eastAsia" w:ascii="宋体" w:hAnsi="宋体" w:cs="宋体"/>
          <w:color w:val="000000" w:themeColor="text1"/>
          <w14:textFill>
            <w14:solidFill>
              <w14:schemeClr w14:val="tx1"/>
            </w14:solidFill>
          </w14:textFill>
        </w:rPr>
        <w:t>。具体质疑起算时间如下：</w:t>
      </w:r>
    </w:p>
    <w:p w14:paraId="59F13AE7">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）对可以质疑的磋商文件提出质疑的，为获取磋商文件之日或者</w:t>
      </w:r>
      <w:r>
        <w:rPr>
          <w:rFonts w:hint="eastAsia" w:ascii="宋体" w:hAnsi="宋体"/>
          <w:color w:val="000000" w:themeColor="text1"/>
          <w14:textFill>
            <w14:solidFill>
              <w14:schemeClr w14:val="tx1"/>
            </w14:solidFill>
          </w14:textFill>
        </w:rPr>
        <w:t>竞争性磋商公告期限届满之日</w:t>
      </w:r>
      <w:r>
        <w:rPr>
          <w:rFonts w:hint="eastAsia" w:ascii="宋体" w:hAnsi="宋体" w:cs="宋体"/>
          <w:color w:val="000000" w:themeColor="text1"/>
          <w14:textFill>
            <w14:solidFill>
              <w14:schemeClr w14:val="tx1"/>
            </w14:solidFill>
          </w14:textFill>
        </w:rPr>
        <w:t>；</w:t>
      </w:r>
    </w:p>
    <w:p w14:paraId="307F3DAA">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）对采购过程提出质疑的，为各采购程序环节结束之日；</w:t>
      </w:r>
    </w:p>
    <w:p w14:paraId="09F3E26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）对成交结果提出质疑的，为成交结果公告期限届满之日。</w:t>
      </w:r>
    </w:p>
    <w:p w14:paraId="67E2AF84">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31.3</w:t>
      </w:r>
      <w:r>
        <w:rPr>
          <w:rFonts w:hint="eastAsia" w:ascii="宋体" w:hAnsi="宋体" w:cs="宋体"/>
          <w:color w:val="000000" w:themeColor="text1"/>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AF58017">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31.4 </w:t>
      </w:r>
      <w:r>
        <w:rPr>
          <w:rFonts w:hint="eastAsia" w:ascii="宋体" w:hAnsi="宋体" w:cs="宋体"/>
          <w:color w:val="000000" w:themeColor="text1"/>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14:textFill>
            <w14:solidFill>
              <w14:schemeClr w14:val="tx1"/>
            </w14:solidFill>
          </w14:textFill>
        </w:rPr>
        <w:t>（质疑函格式后附）</w:t>
      </w:r>
      <w:r>
        <w:rPr>
          <w:rFonts w:hint="eastAsia" w:ascii="宋体" w:hAnsi="宋体" w:cs="宋体"/>
          <w:color w:val="000000" w:themeColor="text1"/>
          <w14:textFill>
            <w14:solidFill>
              <w14:schemeClr w14:val="tx1"/>
            </w14:solidFill>
          </w14:textFill>
        </w:rPr>
        <w:t>：</w:t>
      </w:r>
    </w:p>
    <w:p w14:paraId="1F9B7E9F">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）供应商的姓名或者名称、地址、邮编、联系人及联系电话；</w:t>
      </w:r>
    </w:p>
    <w:p w14:paraId="120790DB">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）质疑项目的名称、编号；</w:t>
      </w:r>
    </w:p>
    <w:p w14:paraId="7AEC45B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）具体、明确的质疑事项和与质疑事项相关的请求；</w:t>
      </w:r>
    </w:p>
    <w:p w14:paraId="502610C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）事实依据；</w:t>
      </w:r>
    </w:p>
    <w:p w14:paraId="16D6E90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t>）必要的法律依据；</w:t>
      </w:r>
    </w:p>
    <w:p w14:paraId="4A9DFD7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）提出质疑的日期。</w:t>
      </w:r>
    </w:p>
    <w:p w14:paraId="74DF0B1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10765865">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31.5</w:t>
      </w:r>
      <w:r>
        <w:rPr>
          <w:rFonts w:hint="eastAsia" w:ascii="宋体" w:hAnsi="宋体" w:cs="宋体"/>
          <w:color w:val="000000" w:themeColor="text1"/>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1EEE5B9E">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49BC802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0DEA184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质疑答复导致成交结果改变的，采购人或者采购代理机构应当将有关情况书面报告本级财政部门。</w:t>
      </w:r>
    </w:p>
    <w:p w14:paraId="4264A42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t>个工作日内向《政府采购质疑和投诉办法》（财政部令第</w:t>
      </w:r>
      <w:r>
        <w:rPr>
          <w:rFonts w:ascii="宋体" w:hAnsi="宋体" w:cs="宋体"/>
          <w:color w:val="000000" w:themeColor="text1"/>
          <w14:textFill>
            <w14:solidFill>
              <w14:schemeClr w14:val="tx1"/>
            </w14:solidFill>
          </w14:textFill>
        </w:rPr>
        <w:t>94</w:t>
      </w:r>
      <w:r>
        <w:rPr>
          <w:rFonts w:hint="eastAsia" w:ascii="宋体" w:hAnsi="宋体" w:cs="宋体"/>
          <w:color w:val="000000" w:themeColor="text1"/>
          <w14:textFill>
            <w14:solidFill>
              <w14:schemeClr w14:val="tx1"/>
            </w14:solidFill>
          </w14:textFill>
        </w:rPr>
        <w:t>号）第六条规定的财政部门提起投诉（投诉书格式后附）。</w:t>
      </w:r>
    </w:p>
    <w:p w14:paraId="1ABDF41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32.</w:t>
      </w:r>
      <w:r>
        <w:rPr>
          <w:rFonts w:hint="eastAsia" w:ascii="黑体" w:hAnsi="黑体" w:eastAsia="黑体" w:cs="宋体"/>
          <w:b/>
          <w:bCs/>
          <w:color w:val="000000" w:themeColor="text1"/>
          <w:sz w:val="24"/>
          <w14:textFill>
            <w14:solidFill>
              <w14:schemeClr w14:val="tx1"/>
            </w14:solidFill>
          </w14:textFill>
        </w:rPr>
        <w:t>其他内容</w:t>
      </w:r>
    </w:p>
    <w:p w14:paraId="4A9443F6">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代理服务收取标准及缴费账户详见“供应商须知前附表”，供应商为联合体的，可以由联合体中的一方或者多方共同交纳代理服务费。</w:t>
      </w:r>
    </w:p>
    <w:p w14:paraId="24BD7B94">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代理服务费收费计算标准：</w:t>
      </w:r>
    </w:p>
    <w:tbl>
      <w:tblPr>
        <w:tblStyle w:val="4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14:paraId="0C72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14:paraId="4D1698F3">
            <w:pPr>
              <w:spacing w:line="360" w:lineRule="auto"/>
              <w:ind w:firstLine="2520" w:firstLineChars="1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费率</w:t>
            </w:r>
          </w:p>
          <w:p w14:paraId="731F3AF8">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tc>
        <w:tc>
          <w:tcPr>
            <w:tcW w:w="1659" w:type="dxa"/>
            <w:vAlign w:val="center"/>
          </w:tcPr>
          <w:p w14:paraId="407B6194">
            <w:pPr>
              <w:spacing w:line="360" w:lineRule="auto"/>
              <w:ind w:firstLine="105" w:firstLineChars="50"/>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货物类</w:t>
            </w:r>
          </w:p>
        </w:tc>
        <w:tc>
          <w:tcPr>
            <w:tcW w:w="1532" w:type="dxa"/>
            <w:vAlign w:val="center"/>
          </w:tcPr>
          <w:p w14:paraId="60854C24">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服务类</w:t>
            </w:r>
          </w:p>
        </w:tc>
        <w:tc>
          <w:tcPr>
            <w:tcW w:w="1546" w:type="dxa"/>
            <w:vAlign w:val="center"/>
          </w:tcPr>
          <w:p w14:paraId="2F3BD8C3">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工程类</w:t>
            </w:r>
          </w:p>
        </w:tc>
      </w:tr>
      <w:tr w14:paraId="7CFB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633DDC4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万元以下</w:t>
            </w:r>
          </w:p>
        </w:tc>
        <w:tc>
          <w:tcPr>
            <w:tcW w:w="1659" w:type="dxa"/>
          </w:tcPr>
          <w:p w14:paraId="293878A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1.5%                </w:t>
            </w:r>
          </w:p>
        </w:tc>
        <w:tc>
          <w:tcPr>
            <w:tcW w:w="1532" w:type="dxa"/>
          </w:tcPr>
          <w:p w14:paraId="09BE1A5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1.5%</w:t>
            </w:r>
          </w:p>
        </w:tc>
        <w:tc>
          <w:tcPr>
            <w:tcW w:w="1546" w:type="dxa"/>
          </w:tcPr>
          <w:p w14:paraId="3F16913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1.0% </w:t>
            </w:r>
          </w:p>
        </w:tc>
      </w:tr>
      <w:tr w14:paraId="738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2AF5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万元</w:t>
            </w:r>
          </w:p>
        </w:tc>
        <w:tc>
          <w:tcPr>
            <w:tcW w:w="1659" w:type="dxa"/>
          </w:tcPr>
          <w:p w14:paraId="5B67147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1.1%                 </w:t>
            </w:r>
          </w:p>
        </w:tc>
        <w:tc>
          <w:tcPr>
            <w:tcW w:w="1532" w:type="dxa"/>
          </w:tcPr>
          <w:p w14:paraId="653AAB1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0.8%</w:t>
            </w:r>
          </w:p>
        </w:tc>
        <w:tc>
          <w:tcPr>
            <w:tcW w:w="1546" w:type="dxa"/>
          </w:tcPr>
          <w:p w14:paraId="1353956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0.7% </w:t>
            </w:r>
          </w:p>
        </w:tc>
      </w:tr>
      <w:tr w14:paraId="3C5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575D8C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万元</w:t>
            </w:r>
          </w:p>
        </w:tc>
        <w:tc>
          <w:tcPr>
            <w:tcW w:w="1659" w:type="dxa"/>
          </w:tcPr>
          <w:p w14:paraId="71D391A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0.8%                </w:t>
            </w:r>
          </w:p>
        </w:tc>
        <w:tc>
          <w:tcPr>
            <w:tcW w:w="1532" w:type="dxa"/>
          </w:tcPr>
          <w:p w14:paraId="66BE246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0.45%</w:t>
            </w:r>
          </w:p>
        </w:tc>
        <w:tc>
          <w:tcPr>
            <w:tcW w:w="1546" w:type="dxa"/>
          </w:tcPr>
          <w:p w14:paraId="03C697D7">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0.55%</w:t>
            </w:r>
          </w:p>
        </w:tc>
      </w:tr>
      <w:tr w14:paraId="311E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592746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p>
        </w:tc>
        <w:tc>
          <w:tcPr>
            <w:tcW w:w="1659" w:type="dxa"/>
          </w:tcPr>
          <w:p w14:paraId="251D4A5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0.5%                </w:t>
            </w:r>
          </w:p>
        </w:tc>
        <w:tc>
          <w:tcPr>
            <w:tcW w:w="1532" w:type="dxa"/>
          </w:tcPr>
          <w:p w14:paraId="6B959420">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0.25%</w:t>
            </w:r>
          </w:p>
        </w:tc>
        <w:tc>
          <w:tcPr>
            <w:tcW w:w="1546" w:type="dxa"/>
          </w:tcPr>
          <w:p w14:paraId="51261DD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0.35% </w:t>
            </w:r>
          </w:p>
        </w:tc>
      </w:tr>
      <w:tr w14:paraId="51EF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67344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亿元</w:t>
            </w:r>
          </w:p>
        </w:tc>
        <w:tc>
          <w:tcPr>
            <w:tcW w:w="1659" w:type="dxa"/>
          </w:tcPr>
          <w:p w14:paraId="36A0A1F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0.25%                 </w:t>
            </w:r>
          </w:p>
        </w:tc>
        <w:tc>
          <w:tcPr>
            <w:tcW w:w="1532" w:type="dxa"/>
          </w:tcPr>
          <w:p w14:paraId="05591FA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0.1%</w:t>
            </w:r>
          </w:p>
        </w:tc>
        <w:tc>
          <w:tcPr>
            <w:tcW w:w="1546" w:type="dxa"/>
          </w:tcPr>
          <w:p w14:paraId="0CF0728D">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w:t>
            </w:r>
          </w:p>
        </w:tc>
      </w:tr>
      <w:tr w14:paraId="02B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6D25B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亿元</w:t>
            </w:r>
          </w:p>
        </w:tc>
        <w:tc>
          <w:tcPr>
            <w:tcW w:w="1659" w:type="dxa"/>
          </w:tcPr>
          <w:p w14:paraId="06D47F7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0.05%</w:t>
            </w:r>
          </w:p>
        </w:tc>
        <w:tc>
          <w:tcPr>
            <w:tcW w:w="1532" w:type="dxa"/>
          </w:tcPr>
          <w:p w14:paraId="78ECB4B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c>
          <w:tcPr>
            <w:tcW w:w="1546" w:type="dxa"/>
          </w:tcPr>
          <w:p w14:paraId="7DF346A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r>
      <w:tr w14:paraId="554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1DB4EBD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亿元</w:t>
            </w:r>
          </w:p>
        </w:tc>
        <w:tc>
          <w:tcPr>
            <w:tcW w:w="1659" w:type="dxa"/>
          </w:tcPr>
          <w:p w14:paraId="126B2EC8">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c>
          <w:tcPr>
            <w:tcW w:w="1532" w:type="dxa"/>
          </w:tcPr>
          <w:p w14:paraId="4648977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0.035%</w:t>
            </w:r>
          </w:p>
        </w:tc>
        <w:tc>
          <w:tcPr>
            <w:tcW w:w="1546" w:type="dxa"/>
          </w:tcPr>
          <w:p w14:paraId="441934BA">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r>
      <w:tr w14:paraId="67C5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038523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亿元</w:t>
            </w:r>
          </w:p>
        </w:tc>
        <w:tc>
          <w:tcPr>
            <w:tcW w:w="1659" w:type="dxa"/>
          </w:tcPr>
          <w:p w14:paraId="163DE81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32" w:type="dxa"/>
          </w:tcPr>
          <w:p w14:paraId="09A4B00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46" w:type="dxa"/>
          </w:tcPr>
          <w:p w14:paraId="7C52E3D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r>
      <w:tr w14:paraId="0A37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890558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亿元</w:t>
            </w:r>
          </w:p>
        </w:tc>
        <w:tc>
          <w:tcPr>
            <w:tcW w:w="1659" w:type="dxa"/>
          </w:tcPr>
          <w:p w14:paraId="1BF089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0.006%</w:t>
            </w:r>
          </w:p>
        </w:tc>
        <w:tc>
          <w:tcPr>
            <w:tcW w:w="1532" w:type="dxa"/>
          </w:tcPr>
          <w:p w14:paraId="5141E27F">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c>
          <w:tcPr>
            <w:tcW w:w="1546" w:type="dxa"/>
          </w:tcPr>
          <w:p w14:paraId="3318D032">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r>
      <w:tr w14:paraId="5444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03CBB7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亿以上</w:t>
            </w:r>
          </w:p>
        </w:tc>
        <w:tc>
          <w:tcPr>
            <w:tcW w:w="1659" w:type="dxa"/>
          </w:tcPr>
          <w:p w14:paraId="01F7AF8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0.004%</w:t>
            </w:r>
          </w:p>
        </w:tc>
        <w:tc>
          <w:tcPr>
            <w:tcW w:w="1532" w:type="dxa"/>
          </w:tcPr>
          <w:p w14:paraId="1819915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c>
          <w:tcPr>
            <w:tcW w:w="1546" w:type="dxa"/>
          </w:tcPr>
          <w:p w14:paraId="7FA2C03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r>
    </w:tbl>
    <w:p w14:paraId="6EE34A2C">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w:t>
      </w:r>
    </w:p>
    <w:p w14:paraId="6F847773">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）按本表费率计算的收费为采购代理的收费基准价格；</w:t>
      </w:r>
    </w:p>
    <w:p w14:paraId="0E8B4CA6">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）采购代理收费按差额定率累进法计算。</w:t>
      </w:r>
    </w:p>
    <w:p w14:paraId="0A5EA9A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例如：某工程项目采购代理业务成交金额为</w:t>
      </w:r>
      <w:r>
        <w:rPr>
          <w:rFonts w:ascii="宋体" w:hAnsi="宋体" w:cs="宋体"/>
          <w:color w:val="000000" w:themeColor="text1"/>
          <w14:textFill>
            <w14:solidFill>
              <w14:schemeClr w14:val="tx1"/>
            </w14:solidFill>
          </w14:textFill>
        </w:rPr>
        <w:t>150</w:t>
      </w:r>
      <w:r>
        <w:rPr>
          <w:rFonts w:hint="eastAsia" w:ascii="宋体" w:hAnsi="宋体" w:cs="宋体"/>
          <w:color w:val="000000" w:themeColor="text1"/>
          <w14:textFill>
            <w14:solidFill>
              <w14:schemeClr w14:val="tx1"/>
            </w14:solidFill>
          </w14:textFill>
        </w:rPr>
        <w:t>万元，计算采购代理收费额如下：</w:t>
      </w:r>
    </w:p>
    <w:p w14:paraId="068930DF">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l.</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w:t>
      </w:r>
      <w:r>
        <w:rPr>
          <w:rFonts w:asci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t>万元</w:t>
      </w:r>
    </w:p>
    <w:p w14:paraId="1E754D81">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150</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0.7%</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0.35</w:t>
      </w:r>
      <w:r>
        <w:rPr>
          <w:rFonts w:hint="eastAsia" w:ascii="宋体" w:hAnsi="宋体" w:cs="宋体"/>
          <w:color w:val="000000" w:themeColor="text1"/>
          <w14:textFill>
            <w14:solidFill>
              <w14:schemeClr w14:val="tx1"/>
            </w14:solidFill>
          </w14:textFill>
        </w:rPr>
        <w:t>万元</w:t>
      </w:r>
    </w:p>
    <w:p w14:paraId="3C63600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合计收费＝</w:t>
      </w:r>
      <w:r>
        <w:rPr>
          <w:rFonts w:ascii="宋体" w:hAnsi="宋体" w:cs="宋体"/>
          <w:color w:val="000000" w:themeColor="text1"/>
          <w14:textFill>
            <w14:solidFill>
              <w14:schemeClr w14:val="tx1"/>
            </w14:solidFill>
          </w14:textFill>
        </w:rPr>
        <w:t xml:space="preserve"> 1.0 + </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35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1.35 </w:t>
      </w:r>
      <w:r>
        <w:rPr>
          <w:rFonts w:hint="eastAsia" w:ascii="宋体" w:hAnsi="宋体" w:cs="宋体"/>
          <w:color w:val="000000" w:themeColor="text1"/>
          <w14:textFill>
            <w14:solidFill>
              <w14:schemeClr w14:val="tx1"/>
            </w14:solidFill>
          </w14:textFill>
        </w:rPr>
        <w:t>万元</w:t>
      </w:r>
    </w:p>
    <w:p w14:paraId="7989A0C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33.</w:t>
      </w:r>
      <w:r>
        <w:rPr>
          <w:rFonts w:hint="eastAsia" w:ascii="黑体" w:hAnsi="黑体" w:eastAsia="黑体" w:cs="宋体"/>
          <w:b/>
          <w:bCs/>
          <w:color w:val="000000" w:themeColor="text1"/>
          <w:sz w:val="24"/>
          <w14:textFill>
            <w14:solidFill>
              <w14:schemeClr w14:val="tx1"/>
            </w14:solidFill>
          </w14:textFill>
        </w:rPr>
        <w:t>需要补充的其他内容</w:t>
      </w:r>
    </w:p>
    <w:p w14:paraId="53A40AEC">
      <w:pPr>
        <w:pStyle w:val="26"/>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33.1</w:t>
      </w:r>
      <w:r>
        <w:rPr>
          <w:rFonts w:hint="eastAsia" w:hAnsi="宋体" w:cs="宋体"/>
          <w:color w:val="000000" w:themeColor="text1"/>
          <w:kern w:val="2"/>
          <w14:textFill>
            <w14:solidFill>
              <w14:schemeClr w14:val="tx1"/>
            </w14:solidFill>
          </w14:textFill>
        </w:rPr>
        <w:t>本磋商文件解释规则详见“供应商须知前附表”。</w:t>
      </w:r>
    </w:p>
    <w:p w14:paraId="16C18462">
      <w:pPr>
        <w:pStyle w:val="26"/>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33.2</w:t>
      </w:r>
      <w:r>
        <w:rPr>
          <w:rFonts w:hint="eastAsia" w:hAnsi="宋体" w:cs="宋体"/>
          <w:color w:val="000000" w:themeColor="text1"/>
          <w:kern w:val="2"/>
          <w14:textFill>
            <w14:solidFill>
              <w14:schemeClr w14:val="tx1"/>
            </w14:solidFill>
          </w14:textFill>
        </w:rPr>
        <w:t>农民工工资保证金见“供应商须知前附表”。</w:t>
      </w:r>
    </w:p>
    <w:p w14:paraId="13414E5E">
      <w:pPr>
        <w:pStyle w:val="26"/>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 xml:space="preserve">33.3 </w:t>
      </w:r>
      <w:r>
        <w:rPr>
          <w:rFonts w:hint="eastAsia" w:hAnsi="宋体" w:cs="宋体"/>
          <w:color w:val="000000" w:themeColor="text1"/>
          <w:kern w:val="2"/>
          <w14:textFill>
            <w14:solidFill>
              <w14:schemeClr w14:val="tx1"/>
            </w14:solidFill>
          </w14:textFill>
        </w:rPr>
        <w:t>其他事项详见“供应商须知前附表”。</w:t>
      </w:r>
    </w:p>
    <w:p w14:paraId="7F393724">
      <w:pPr>
        <w:pStyle w:val="26"/>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33.4</w:t>
      </w:r>
      <w:r>
        <w:rPr>
          <w:rFonts w:hint="eastAsia" w:hAnsi="宋体" w:cs="宋体"/>
          <w:color w:val="000000" w:themeColor="text1"/>
          <w:kern w:val="2"/>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0405B6C">
      <w:pPr>
        <w:pStyle w:val="26"/>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7BF5987B">
      <w:pPr>
        <w:pStyle w:val="26"/>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）在工程采购项目中，工程由中小企业承建，即工程施工单位为中小企业，不对其中涉及的货物的制造商和服务的承接商作出要求；</w:t>
      </w:r>
    </w:p>
    <w:p w14:paraId="38053D1B">
      <w:pPr>
        <w:pStyle w:val="26"/>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0E61895">
      <w:pPr>
        <w:pStyle w:val="26"/>
        <w:spacing w:line="360" w:lineRule="auto"/>
        <w:ind w:firstLine="420" w:firstLineChars="200"/>
        <w:contextualSpacing/>
        <w:rPr>
          <w:rFonts w:hAnsi="宋体"/>
          <w:color w:val="000000" w:themeColor="text1"/>
          <w14:textFill>
            <w14:solidFill>
              <w14:schemeClr w14:val="tx1"/>
            </w14:solidFill>
          </w14:textFill>
        </w:rPr>
      </w:pPr>
      <w:r>
        <w:rPr>
          <w:rFonts w:hint="eastAsia" w:hAnsi="宋体" w:cs="宋体"/>
          <w:color w:val="000000" w:themeColor="text1"/>
          <w:kern w:val="2"/>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14:textFill>
            <w14:solidFill>
              <w14:schemeClr w14:val="tx1"/>
            </w14:solidFill>
          </w14:textFill>
        </w:rPr>
        <w:t>中小企业的，联合体视同中小企业。其中，联合体各方均为小微企业的，联合体视同小微企业。</w:t>
      </w:r>
    </w:p>
    <w:p w14:paraId="092283B1">
      <w:pPr>
        <w:pStyle w:val="26"/>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依据本磋商文件规定享受扶持政策获得政府采购合同的，小微企业不得将合同分包给大中型企业，中型企业不得将合同分包给大型企业。</w:t>
      </w:r>
    </w:p>
    <w:p w14:paraId="231C4192">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r>
        <w:rPr>
          <w:rFonts w:hint="eastAsia" w:hAnsi="宋体"/>
          <w:b/>
          <w:color w:val="000000" w:themeColor="text1"/>
          <w:lang w:val="en-US" w:eastAsia="zh-CN"/>
          <w14:textFill>
            <w14:solidFill>
              <w14:schemeClr w14:val="tx1"/>
            </w14:solidFill>
          </w14:textFill>
        </w:rPr>
        <w:t>33.5关于崇左市线上“政采贷”政策</w:t>
      </w:r>
    </w:p>
    <w:p w14:paraId="119BC146">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75C265AA">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41546C96">
      <w:pPr>
        <w:spacing w:line="580" w:lineRule="exact"/>
        <w:ind w:firstLine="420" w:firstLineChars="200"/>
        <w:rPr>
          <w:color w:val="000000" w:themeColor="text1"/>
          <w:szCs w:val="32"/>
          <w14:textFill>
            <w14:solidFill>
              <w14:schemeClr w14:val="tx1"/>
            </w14:solidFill>
          </w14:textFill>
        </w:rPr>
      </w:pPr>
    </w:p>
    <w:p w14:paraId="3C8401E8">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61E3DE05">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49D76983">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396FC91">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51B4625B">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24210B85">
      <w:pPr>
        <w:spacing w:line="540" w:lineRule="exact"/>
        <w:rPr>
          <w:rFonts w:ascii="黑体" w:hAnsi="黑体" w:eastAsia="黑体" w:cs="黑体"/>
          <w:color w:val="000000" w:themeColor="text1"/>
          <w:szCs w:val="32"/>
          <w14:textFill>
            <w14:solidFill>
              <w14:schemeClr w14:val="tx1"/>
            </w14:solidFill>
          </w14:textFill>
        </w:rPr>
      </w:pPr>
    </w:p>
    <w:p w14:paraId="2A2C411C">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59F55F32">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8D7D87C">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67CCF01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5FAC25C2">
      <w:pPr>
        <w:widowControl/>
        <w:ind w:firstLine="420" w:firstLineChars="200"/>
        <w:rPr>
          <w:color w:val="000000" w:themeColor="text1"/>
          <w14:textFill>
            <w14:solidFill>
              <w14:schemeClr w14:val="tx1"/>
            </w14:solidFill>
          </w14:textFill>
        </w:rPr>
      </w:pPr>
    </w:p>
    <w:p w14:paraId="74EFD68E">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6D15899">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5DCC7CD">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5"/>
        <w:tblW w:w="8943" w:type="dxa"/>
        <w:tblInd w:w="96" w:type="dxa"/>
        <w:tblLayout w:type="fixed"/>
        <w:tblCellMar>
          <w:top w:w="0" w:type="dxa"/>
          <w:left w:w="108" w:type="dxa"/>
          <w:bottom w:w="0" w:type="dxa"/>
          <w:right w:w="108" w:type="dxa"/>
        </w:tblCellMar>
      </w:tblPr>
      <w:tblGrid>
        <w:gridCol w:w="2674"/>
        <w:gridCol w:w="3515"/>
        <w:gridCol w:w="2754"/>
      </w:tblGrid>
      <w:tr w14:paraId="5B60707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C2370F">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22465B1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2AE03127">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0B5AA452">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18CA0AEF">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4381C53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2B1C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7CFC1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E6583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5A3BBD05">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0640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7FB5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CCF7C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295B4E0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3753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3ABA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29CF2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7ECA39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DA368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A2F6E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7562B0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23C09F1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F595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77FFD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44F627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46DEC33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89C43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499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BB4C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04978E79">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5EC0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8CA7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EEC9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C019CF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9355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787F2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6EB5F6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72896F2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6D92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634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666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1507603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FDB2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5590E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47CD4C8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676CF67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B645D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7C0B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5C44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3C509AD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F52A2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6402C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8A137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7B388924">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FFCA14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4B7C5BBA">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C56B05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00670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D7B04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2BE7E89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3F49C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341D7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79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543DF5B2">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957D8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22F7C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693B4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4640CA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B715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2D659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77C0D3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2C5D71C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A647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4807B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F34A4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1938E20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F4CE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B302B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AA655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3406DFB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15CA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287B8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EA42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33A0325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4902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E98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2B84D0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2A81E6E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EB53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83991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6DA8E5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5887B38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92B8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0659F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414E44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0460A3A0">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23C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DBD69B6">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54860AD0">
            <w:pPr>
              <w:widowControl/>
              <w:jc w:val="center"/>
              <w:textAlignment w:val="center"/>
              <w:rPr>
                <w:rFonts w:ascii="宋体" w:hAnsi="宋体" w:cs="宋体"/>
                <w:color w:val="000000" w:themeColor="text1"/>
                <w:szCs w:val="21"/>
                <w14:textFill>
                  <w14:solidFill>
                    <w14:schemeClr w14:val="tx1"/>
                  </w14:solidFill>
                </w14:textFill>
              </w:rPr>
            </w:pPr>
          </w:p>
        </w:tc>
      </w:tr>
      <w:tr w14:paraId="2731DB0F">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6AF8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A310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39479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66AF65C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9B1C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6D11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6CC8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4A9DDD7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AE29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009334">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5357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5BAD035C">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D84C8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92D5B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DDEC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5FB7A99E">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3AC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5020B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77D1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40081632">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8AC50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940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5BA249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269A3DEE">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659FBA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18E7687C">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B74F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68823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0DAD38B">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775A88C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0D0A6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3A0BB2A">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B5DB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0531920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6DC4B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A0DE1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F7BAA7">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1E8A55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2CF01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022A38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203B8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66A30570">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349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FC8B0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C03481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1DAE8FC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6CB7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8BD93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D1FEA12">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70B642F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BF733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2B466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793423A">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3BF2943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BDC341">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96717">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FDF8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2546647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31753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7E2BDF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2AC315E6">
            <w:pPr>
              <w:widowControl/>
              <w:jc w:val="center"/>
              <w:textAlignment w:val="center"/>
              <w:rPr>
                <w:rFonts w:ascii="宋体" w:hAnsi="宋体" w:cs="宋体"/>
                <w:color w:val="000000" w:themeColor="text1"/>
                <w:szCs w:val="21"/>
                <w14:textFill>
                  <w14:solidFill>
                    <w14:schemeClr w14:val="tx1"/>
                  </w14:solidFill>
                </w14:textFill>
              </w:rPr>
            </w:pPr>
          </w:p>
        </w:tc>
      </w:tr>
      <w:tr w14:paraId="3066D064">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6521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D8BAD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1EFC2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6E5E5F3">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083D8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525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CCE19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030B00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0BA9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6F56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E0E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9FAD88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A013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6068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C15D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4AD6CA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C915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40F0A6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01EAB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02D9F9B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0253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4DB2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77062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1CDB6508">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EBE52">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CCB82B0">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3603143F">
            <w:pPr>
              <w:widowControl/>
              <w:jc w:val="center"/>
              <w:textAlignment w:val="center"/>
              <w:rPr>
                <w:rFonts w:ascii="宋体" w:hAnsi="宋体" w:cs="宋体"/>
                <w:color w:val="000000" w:themeColor="text1"/>
                <w:szCs w:val="21"/>
                <w14:textFill>
                  <w14:solidFill>
                    <w14:schemeClr w14:val="tx1"/>
                  </w14:solidFill>
                </w14:textFill>
              </w:rPr>
            </w:pPr>
          </w:p>
        </w:tc>
      </w:tr>
      <w:tr w14:paraId="140B84F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9367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CF9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617DB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03E61FA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676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C1608B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7CA98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024F9D0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75CB0D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4F0C6A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9A64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15318C3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0CBDB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1E4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EEB3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18A13F4B">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2872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9D404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09274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1306596">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5F1115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61FA4DB1">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0050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EA13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CC03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3BC2C32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E7B06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063E4B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1AC25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02F2405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0E526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766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1332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6A89DF7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CEE04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C8AA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76DFCB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4BD73BF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2B5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3BB8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0D112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5FC150C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8609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6F27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1CAC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77E31C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A252B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CF2E6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27C3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2B3AD6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B78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DF0B1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7102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4C80812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5643E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71C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1C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66E29C4">
      <w:pPr>
        <w:pStyle w:val="3"/>
        <w:rPr>
          <w:color w:val="000000" w:themeColor="text1"/>
          <w14:textFill>
            <w14:solidFill>
              <w14:schemeClr w14:val="tx1"/>
            </w14:solidFill>
          </w14:textFill>
        </w:rPr>
      </w:pPr>
    </w:p>
    <w:p w14:paraId="0E8B3EE7">
      <w:pPr>
        <w:pStyle w:val="26"/>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33BD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06C8856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6B4320D4">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11AB9016">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1CEB7EB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6C8A2B9">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6C1B856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53551D2C">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5A0E2E3F">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Arial"/>
          <w:bCs/>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00BA01CB">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4.</w:t>
      </w:r>
      <w:r>
        <w:rPr>
          <w:rFonts w:hint="eastAsia" w:ascii="宋体" w:hAnsi="宋体"/>
          <w:b/>
          <w:color w:val="000000" w:themeColor="text1"/>
          <w:szCs w:val="21"/>
          <w14:textFill>
            <w14:solidFill>
              <w14:schemeClr w14:val="tx1"/>
            </w14:solidFill>
          </w14:textFill>
        </w:rPr>
        <w:t>采购预算：</w:t>
      </w:r>
      <w:r>
        <w:rPr>
          <w:rFonts w:hint="eastAsia" w:ascii="宋体" w:hAnsi="宋体"/>
          <w:b/>
          <w:color w:val="000000" w:themeColor="text1"/>
          <w:szCs w:val="21"/>
          <w:lang w:val="en-US" w:eastAsia="zh-CN"/>
          <w14:textFill>
            <w14:solidFill>
              <w14:schemeClr w14:val="tx1"/>
            </w14:solidFill>
          </w14:textFill>
        </w:rPr>
        <w:t>650000.00</w:t>
      </w:r>
      <w:r>
        <w:rPr>
          <w:rFonts w:hint="eastAsia" w:ascii="宋体" w:hAnsi="宋体"/>
          <w:b/>
          <w:color w:val="000000" w:themeColor="text1"/>
          <w:szCs w:val="21"/>
          <w14:textFill>
            <w14:solidFill>
              <w14:schemeClr w14:val="tx1"/>
            </w14:solidFill>
          </w14:textFill>
        </w:rPr>
        <w:t>元</w:t>
      </w:r>
    </w:p>
    <w:p w14:paraId="0F15D93E">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cs="Arial"/>
          <w:b/>
          <w:bCs/>
          <w:color w:val="000000" w:themeColor="text1"/>
          <w:szCs w:val="21"/>
          <w:lang w:val="en-US" w:eastAsia="zh-CN"/>
          <w14:textFill>
            <w14:solidFill>
              <w14:schemeClr w14:val="tx1"/>
            </w14:solidFill>
          </w14:textFill>
        </w:rPr>
        <w:t>5.</w:t>
      </w:r>
      <w:r>
        <w:rPr>
          <w:rFonts w:hint="eastAsia" w:ascii="宋体" w:hAnsi="宋体" w:cs="Arial"/>
          <w:b/>
          <w:bCs/>
          <w:color w:val="000000" w:themeColor="text1"/>
          <w:szCs w:val="21"/>
          <w14:textFill>
            <w14:solidFill>
              <w14:schemeClr w14:val="tx1"/>
            </w14:solidFill>
          </w14:textFill>
        </w:rPr>
        <w:t>最高限价</w:t>
      </w:r>
      <w:r>
        <w:rPr>
          <w:rFonts w:hint="eastAsia" w:ascii="宋体" w:hAnsi="宋体" w:cs="Arial"/>
          <w:bCs/>
          <w:color w:val="000000" w:themeColor="text1"/>
          <w:szCs w:val="21"/>
          <w14:textFill>
            <w14:solidFill>
              <w14:schemeClr w14:val="tx1"/>
            </w14:solidFill>
          </w14:textFill>
        </w:rPr>
        <w:t>：</w:t>
      </w:r>
      <w:r>
        <w:rPr>
          <w:rFonts w:hint="eastAsia" w:ascii="宋体" w:hAnsi="宋体" w:cs="Arial"/>
          <w:b/>
          <w:bCs w:val="0"/>
          <w:color w:val="000000" w:themeColor="text1"/>
          <w:szCs w:val="21"/>
          <w:lang w:val="en-US" w:eastAsia="zh-CN"/>
          <w14:textFill>
            <w14:solidFill>
              <w14:schemeClr w14:val="tx1"/>
            </w14:solidFill>
          </w14:textFill>
        </w:rPr>
        <w:t>650000.00</w:t>
      </w:r>
      <w:r>
        <w:rPr>
          <w:rFonts w:hint="eastAsia" w:ascii="宋体" w:hAnsi="宋体" w:cs="Arial"/>
          <w:b/>
          <w:bCs w:val="0"/>
          <w:color w:val="000000" w:themeColor="text1"/>
          <w:szCs w:val="21"/>
          <w14:textFill>
            <w14:solidFill>
              <w14:schemeClr w14:val="tx1"/>
            </w14:solidFill>
          </w14:textFill>
        </w:rPr>
        <w:t>元</w:t>
      </w:r>
    </w:p>
    <w:tbl>
      <w:tblPr>
        <w:tblStyle w:val="45"/>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6BD7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1BD2FF17">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28" w:type="dxa"/>
            <w:vAlign w:val="center"/>
          </w:tcPr>
          <w:p w14:paraId="293A4228">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标的的名称</w:t>
            </w:r>
          </w:p>
        </w:tc>
        <w:tc>
          <w:tcPr>
            <w:tcW w:w="992" w:type="dxa"/>
            <w:vAlign w:val="center"/>
          </w:tcPr>
          <w:p w14:paraId="2F4A8BF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数量及单位</w:t>
            </w:r>
          </w:p>
        </w:tc>
        <w:tc>
          <w:tcPr>
            <w:tcW w:w="709" w:type="dxa"/>
            <w:vAlign w:val="center"/>
          </w:tcPr>
          <w:p w14:paraId="43398EC3">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所属行业</w:t>
            </w:r>
          </w:p>
        </w:tc>
        <w:tc>
          <w:tcPr>
            <w:tcW w:w="4721" w:type="dxa"/>
            <w:vAlign w:val="center"/>
          </w:tcPr>
          <w:p w14:paraId="78246F1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w:t>
            </w:r>
          </w:p>
        </w:tc>
      </w:tr>
      <w:tr w14:paraId="61E7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5F62067C">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1728" w:type="dxa"/>
            <w:vAlign w:val="center"/>
          </w:tcPr>
          <w:p w14:paraId="04F6D66E">
            <w:pPr>
              <w:tabs>
                <w:tab w:val="left" w:pos="180"/>
                <w:tab w:val="left" w:pos="1620"/>
              </w:tabs>
              <w:spacing w:line="360" w:lineRule="auto"/>
              <w:jc w:val="center"/>
              <w:rPr>
                <w:rFonts w:hint="eastAsia" w:ascii="宋体" w:eastAsia="宋体" w:cs="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 2025年江州区全凤村全庆屯、卜堪屯、平坚屯道路提升及安防工程</w:t>
            </w:r>
          </w:p>
        </w:tc>
        <w:tc>
          <w:tcPr>
            <w:tcW w:w="992" w:type="dxa"/>
            <w:vAlign w:val="center"/>
          </w:tcPr>
          <w:p w14:paraId="0568CEC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项</w:t>
            </w:r>
          </w:p>
        </w:tc>
        <w:tc>
          <w:tcPr>
            <w:tcW w:w="709" w:type="dxa"/>
            <w:vAlign w:val="center"/>
          </w:tcPr>
          <w:p w14:paraId="49CF879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建筑业</w:t>
            </w:r>
          </w:p>
        </w:tc>
        <w:tc>
          <w:tcPr>
            <w:tcW w:w="4721" w:type="dxa"/>
            <w:vAlign w:val="center"/>
          </w:tcPr>
          <w:p w14:paraId="796E6EE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项目概况：</w:t>
            </w:r>
            <w:r>
              <w:rPr>
                <w:rFonts w:hint="eastAsia" w:ascii="宋体" w:hAnsi="宋体"/>
                <w:color w:val="000000" w:themeColor="text1"/>
                <w:szCs w:val="21"/>
                <w:lang w:eastAsia="zh-CN"/>
                <w14:textFill>
                  <w14:solidFill>
                    <w14:schemeClr w14:val="tx1"/>
                  </w14:solidFill>
                </w14:textFill>
              </w:rPr>
              <w:t xml:space="preserve"> 2025年江州区全凤村全庆屯、卜堪屯、平坚屯道路提升及安防工程</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详见工程量清单及图纸。</w:t>
            </w:r>
          </w:p>
          <w:p w14:paraId="4A11FCFA">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技术标准和要求：符合国家现行的工程建设标准、技术规范及强制性标准条文、以及施工图纸载明的其他有关规范标准。</w:t>
            </w:r>
          </w:p>
          <w:p w14:paraId="0B6D14C9">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质量标准：合格。</w:t>
            </w:r>
          </w:p>
          <w:p w14:paraId="542DDED5">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4</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报价方式：工程量清单报价。</w:t>
            </w:r>
          </w:p>
          <w:p w14:paraId="202AF5CB">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承包方式：固定综合单价。</w:t>
            </w:r>
          </w:p>
          <w:p w14:paraId="2B4C1168">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1"/>
                <w:szCs w:val="24"/>
                <w14:textFill>
                  <w14:solidFill>
                    <w14:schemeClr w14:val="tx1"/>
                  </w14:solidFill>
                </w14:textFill>
              </w:rPr>
            </w:pPr>
            <w:r>
              <w:rPr>
                <w:rFonts w:ascii="宋体" w:hAnsi="宋体" w:cs="宋体"/>
                <w:color w:val="000000" w:themeColor="text1"/>
                <w:sz w:val="21"/>
                <w:szCs w:val="21"/>
                <w14:textFill>
                  <w14:solidFill>
                    <w14:schemeClr w14:val="tx1"/>
                  </w14:solidFill>
                </w14:textFill>
              </w:rPr>
              <w:t>6</w:t>
            </w:r>
            <w:r>
              <w:rPr>
                <w:rFonts w:ascii="宋体" w:cs="宋体"/>
                <w:color w:val="000000" w:themeColor="text1"/>
                <w:sz w:val="21"/>
                <w:szCs w:val="21"/>
                <w14:textFill>
                  <w14:solidFill>
                    <w14:schemeClr w14:val="tx1"/>
                  </w14:solidFill>
                </w14:textFill>
              </w:rPr>
              <w:t>.</w:t>
            </w:r>
            <w:r>
              <w:rPr>
                <w:rFonts w:hint="eastAsia"/>
                <w:color w:val="000000" w:themeColor="text1"/>
                <w:sz w:val="21"/>
                <w:szCs w:val="24"/>
                <w14:textFill>
                  <w14:solidFill>
                    <w14:schemeClr w14:val="tx1"/>
                  </w14:solidFill>
                </w14:textFill>
              </w:rPr>
              <w:t>开工日期：以签订合同后采购人通知为准。</w:t>
            </w:r>
          </w:p>
        </w:tc>
      </w:tr>
      <w:tr w14:paraId="2AD4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8805" w:type="dxa"/>
            <w:gridSpan w:val="5"/>
            <w:tcBorders>
              <w:top w:val="single" w:color="auto" w:sz="4" w:space="0"/>
              <w:bottom w:val="single" w:color="auto" w:sz="4" w:space="0"/>
            </w:tcBorders>
          </w:tcPr>
          <w:p w14:paraId="6BD2EEFE">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商务要求</w:t>
            </w:r>
          </w:p>
        </w:tc>
      </w:tr>
      <w:tr w14:paraId="1226B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383" w:type="dxa"/>
            <w:gridSpan w:val="2"/>
            <w:tcBorders>
              <w:top w:val="single" w:color="auto" w:sz="4" w:space="0"/>
              <w:bottom w:val="single" w:color="auto" w:sz="4" w:space="0"/>
              <w:right w:val="single" w:color="auto" w:sz="4" w:space="0"/>
            </w:tcBorders>
            <w:vAlign w:val="center"/>
          </w:tcPr>
          <w:p w14:paraId="18E3ACFF">
            <w:pPr>
              <w:spacing w:line="360" w:lineRule="auto"/>
              <w:rPr>
                <w:rFonts w:ascii="宋体"/>
                <w:b/>
                <w:color w:val="auto"/>
                <w:szCs w:val="21"/>
                <w:highlight w:val="none"/>
              </w:rPr>
            </w:pPr>
            <w:r>
              <w:rPr>
                <w:rFonts w:hint="eastAsia" w:ascii="宋体" w:hAnsi="宋体" w:cs="宋体"/>
                <w:color w:val="auto"/>
                <w:szCs w:val="21"/>
                <w:highlight w:val="none"/>
              </w:rPr>
              <w:t>计划工期</w:t>
            </w:r>
          </w:p>
        </w:tc>
        <w:tc>
          <w:tcPr>
            <w:tcW w:w="6422" w:type="dxa"/>
            <w:gridSpan w:val="3"/>
            <w:tcBorders>
              <w:top w:val="single" w:color="auto" w:sz="4" w:space="0"/>
              <w:left w:val="single" w:color="auto" w:sz="4" w:space="0"/>
              <w:bottom w:val="single" w:color="auto" w:sz="4" w:space="0"/>
            </w:tcBorders>
            <w:vAlign w:val="center"/>
          </w:tcPr>
          <w:p w14:paraId="5A5B3F4A">
            <w:pPr>
              <w:rPr>
                <w:rFonts w:ascii="宋体"/>
                <w:b/>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计划工期：</w:t>
            </w:r>
            <w:r>
              <w:rPr>
                <w:rFonts w:hint="eastAsia" w:ascii="宋体" w:hAnsi="宋体"/>
                <w:color w:val="000000" w:themeColor="text1"/>
                <w:szCs w:val="21"/>
                <w:highlight w:val="none"/>
                <w:lang w:val="en-US" w:eastAsia="zh-CN"/>
                <w14:textFill>
                  <w14:solidFill>
                    <w14:schemeClr w14:val="tx1"/>
                  </w14:solidFill>
                </w14:textFill>
              </w:rPr>
              <w:t>45</w:t>
            </w:r>
            <w:r>
              <w:rPr>
                <w:rFonts w:hint="eastAsia" w:ascii="宋体" w:hAnsi="宋体"/>
                <w:color w:val="000000" w:themeColor="text1"/>
                <w:szCs w:val="21"/>
                <w:highlight w:val="none"/>
                <w14:textFill>
                  <w14:solidFill>
                    <w14:schemeClr w14:val="tx1"/>
                  </w14:solidFill>
                </w14:textFill>
              </w:rPr>
              <w:t>日历天</w:t>
            </w:r>
          </w:p>
        </w:tc>
      </w:tr>
      <w:tr w14:paraId="476A1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383" w:type="dxa"/>
            <w:gridSpan w:val="2"/>
            <w:tcBorders>
              <w:top w:val="single" w:color="auto" w:sz="4" w:space="0"/>
              <w:bottom w:val="single" w:color="auto" w:sz="4" w:space="0"/>
              <w:right w:val="single" w:color="auto" w:sz="4" w:space="0"/>
            </w:tcBorders>
            <w:vAlign w:val="center"/>
          </w:tcPr>
          <w:p w14:paraId="4426385F">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建设地点</w:t>
            </w:r>
          </w:p>
        </w:tc>
        <w:tc>
          <w:tcPr>
            <w:tcW w:w="6422" w:type="dxa"/>
            <w:gridSpan w:val="3"/>
            <w:tcBorders>
              <w:top w:val="single" w:color="auto" w:sz="4" w:space="0"/>
              <w:left w:val="single" w:color="auto" w:sz="4" w:space="0"/>
              <w:bottom w:val="single" w:color="auto" w:sz="4" w:space="0"/>
            </w:tcBorders>
            <w:vAlign w:val="center"/>
          </w:tcPr>
          <w:p w14:paraId="48B04F1C">
            <w:pPr>
              <w:spacing w:line="360" w:lineRule="auto"/>
              <w:rPr>
                <w:rFonts w:ascii="宋体"/>
                <w:color w:val="000000" w:themeColor="text1"/>
                <w:szCs w:val="21"/>
                <w14:textFill>
                  <w14:solidFill>
                    <w14:schemeClr w14:val="tx1"/>
                  </w14:solidFill>
                </w14:textFill>
              </w:rPr>
            </w:pPr>
            <w:r>
              <w:rPr>
                <w:rFonts w:hint="eastAsia"/>
                <w:color w:val="000000" w:themeColor="text1"/>
                <w:lang w:eastAsia="zh-CN"/>
                <w14:textFill>
                  <w14:solidFill>
                    <w14:schemeClr w14:val="tx1"/>
                  </w14:solidFill>
                </w14:textFill>
              </w:rPr>
              <w:t>崇左市江州区</w:t>
            </w:r>
            <w:r>
              <w:rPr>
                <w:rFonts w:hint="eastAsia"/>
                <w:color w:val="000000" w:themeColor="text1"/>
                <w14:textFill>
                  <w14:solidFill>
                    <w14:schemeClr w14:val="tx1"/>
                  </w14:solidFill>
                </w14:textFill>
              </w:rPr>
              <w:t>，采购人指定地点。</w:t>
            </w:r>
          </w:p>
        </w:tc>
      </w:tr>
      <w:tr w14:paraId="49C4C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39AE0AF">
            <w:pPr>
              <w:spacing w:line="360" w:lineRule="auto"/>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合同签订时间</w:t>
            </w:r>
          </w:p>
        </w:tc>
        <w:tc>
          <w:tcPr>
            <w:tcW w:w="6422" w:type="dxa"/>
            <w:gridSpan w:val="3"/>
            <w:tcBorders>
              <w:top w:val="single" w:color="auto" w:sz="4" w:space="0"/>
              <w:left w:val="single" w:color="auto" w:sz="4" w:space="0"/>
              <w:bottom w:val="single" w:color="auto" w:sz="4" w:space="0"/>
            </w:tcBorders>
            <w:vAlign w:val="center"/>
          </w:tcPr>
          <w:p w14:paraId="671620ED">
            <w:pPr>
              <w:spacing w:line="360" w:lineRule="auto"/>
              <w:rPr>
                <w:rFonts w:ascii="宋体"/>
                <w:b/>
                <w:color w:val="auto"/>
                <w:szCs w:val="21"/>
              </w:rPr>
            </w:pPr>
            <w:r>
              <w:rPr>
                <w:rFonts w:hint="eastAsia" w:ascii="宋体" w:hAnsi="宋体"/>
                <w:color w:val="auto"/>
                <w:szCs w:val="21"/>
              </w:rPr>
              <w:t>自成交通知书发出之日起</w:t>
            </w:r>
            <w:r>
              <w:rPr>
                <w:rFonts w:hint="eastAsia" w:ascii="宋体" w:hAnsi="宋体"/>
                <w:b/>
                <w:bCs/>
                <w:i w:val="0"/>
                <w:iCs w:val="0"/>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587C4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383" w:type="dxa"/>
            <w:gridSpan w:val="2"/>
            <w:tcBorders>
              <w:top w:val="single" w:color="auto" w:sz="4" w:space="0"/>
              <w:bottom w:val="single" w:color="auto" w:sz="4" w:space="0"/>
              <w:right w:val="single" w:color="auto" w:sz="4" w:space="0"/>
            </w:tcBorders>
            <w:vAlign w:val="center"/>
          </w:tcPr>
          <w:p w14:paraId="112CB491">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0ECDF3FB">
            <w:pPr>
              <w:spacing w:line="360" w:lineRule="auto"/>
              <w:rPr>
                <w:rFonts w:hint="eastAsia" w:eastAsia="宋体"/>
                <w:color w:val="auto"/>
                <w:lang w:eastAsia="zh-CN"/>
              </w:rPr>
            </w:pPr>
            <w:r>
              <w:rPr>
                <w:rFonts w:hint="eastAsia"/>
                <w:color w:val="auto"/>
                <w:lang w:eastAsia="zh-CN"/>
              </w:rPr>
              <w:t>详见合同条款</w:t>
            </w:r>
          </w:p>
        </w:tc>
      </w:tr>
      <w:tr w14:paraId="0DAFFF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094335B8">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7F2900D2">
      <w:pPr>
        <w:pStyle w:val="26"/>
        <w:spacing w:before="340" w:after="340" w:line="360" w:lineRule="auto"/>
        <w:ind w:firstLine="422" w:firstLineChars="200"/>
        <w:jc w:val="center"/>
        <w:textAlignment w:val="center"/>
        <w:rPr>
          <w:color w:val="000000" w:themeColor="text1"/>
          <w14:textFill>
            <w14:solidFill>
              <w14:schemeClr w14:val="tx1"/>
            </w14:solidFill>
          </w14:textFill>
        </w:rPr>
      </w:pP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0D6216AF">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C3AA33D">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503195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081894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430C11E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0B20DB47">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1E6D54C4">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0DB641B2">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ABD500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474425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5F2FDCA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B878A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1DDF43C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7849ED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2322192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1FB18B5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0F1808A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8CF973C">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0F3CD66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6108395">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31761AB5">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BC5E86B">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08EF56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5A03E98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6274DA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635376A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5C79028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532F8C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59CD6B2E">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41326DD8">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6F55FB6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1F0EA7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12A8BA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0476B6E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5B937B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11EB4E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6D0668C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0952D5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6480187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602A4B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681D7F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140A0C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1C626C7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46D9413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413A1B2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13B3938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14810D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2D626566">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0283E5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651CC3A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6798CF9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3B845C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9D5425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070BDAF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3B65555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B16A15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556C88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4033E0A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CD96E3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484C002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3F00B2A3">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2EDC23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7889001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27C1D8D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2B902D0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638A2E89">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376EB99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39730C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7014DFE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528C3A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6448E9F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2603A03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4CB2E5D2">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6828B35D">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72D6597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659894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46C6072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0CC9F7D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35A1EBC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64BF7C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5E9E879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0B21033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7CC1EA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646C4AF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070DA90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028F26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52EFBF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558C470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39B8861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204EDF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15D6D3B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2DE374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3806BDC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31B1A08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0DE5F4F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597C1A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3B0D568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134FE367">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7497C53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24EAA6D">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770DC25A">
      <w:pPr>
        <w:spacing w:line="360" w:lineRule="auto"/>
        <w:jc w:val="center"/>
        <w:rPr>
          <w:rFonts w:asci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p>
    <w:p w14:paraId="7C011F8E">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5"/>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7DC1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06D765B">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2A024730">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4F743AA">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0292A931">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536C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37C0872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85AE10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45F1480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120D06DA">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0B5CF6E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1DF2D1F7">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1AD3D04">
            <w:pPr>
              <w:pStyle w:val="26"/>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4F7ED097">
            <w:pPr>
              <w:pStyle w:val="26"/>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53AE8617">
            <w:pPr>
              <w:pStyle w:val="26"/>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76DE8D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054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25DAD4F3">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060990A7">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7E2E0E71">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676015CB">
            <w:pPr>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cs="Tahoma"/>
                <w:b/>
                <w:bCs w:val="0"/>
                <w:color w:val="000000" w:themeColor="text1"/>
                <w:kern w:val="0"/>
                <w:szCs w:val="21"/>
                <w:lang w:val="en-US" w:eastAsia="zh-CN"/>
                <w14:textFill>
                  <w14:solidFill>
                    <w14:schemeClr w14:val="tx1"/>
                  </w14:solidFill>
                </w14:textFill>
              </w:rPr>
              <w:t>7</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01B4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21879FD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53EC8D10">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B778A4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FD09F45">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30D2B20F">
            <w:pPr>
              <w:spacing w:line="360" w:lineRule="auto"/>
              <w:jc w:val="left"/>
              <w:rPr>
                <w:color w:val="000000" w:themeColor="text1"/>
                <w14:textFill>
                  <w14:solidFill>
                    <w14:schemeClr w14:val="tx1"/>
                  </w14:solidFill>
                </w14:textFill>
              </w:rPr>
            </w:pPr>
          </w:p>
        </w:tc>
        <w:tc>
          <w:tcPr>
            <w:tcW w:w="853" w:type="dxa"/>
            <w:vAlign w:val="center"/>
          </w:tcPr>
          <w:p w14:paraId="3D2FC8E0">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0FD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30937C3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51A1FF70">
            <w:pPr>
              <w:spacing w:line="360" w:lineRule="auto"/>
              <w:jc w:val="left"/>
              <w:rPr>
                <w:color w:val="000000" w:themeColor="text1"/>
                <w14:textFill>
                  <w14:solidFill>
                    <w14:schemeClr w14:val="tx1"/>
                  </w14:solidFill>
                </w14:textFill>
              </w:rPr>
            </w:pPr>
          </w:p>
        </w:tc>
        <w:tc>
          <w:tcPr>
            <w:tcW w:w="1045" w:type="dxa"/>
            <w:vAlign w:val="center"/>
          </w:tcPr>
          <w:p w14:paraId="64494F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C8950D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037D944D">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FA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E37ED1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80E99DD">
            <w:pPr>
              <w:spacing w:line="360" w:lineRule="auto"/>
              <w:jc w:val="left"/>
              <w:rPr>
                <w:color w:val="000000" w:themeColor="text1"/>
                <w14:textFill>
                  <w14:solidFill>
                    <w14:schemeClr w14:val="tx1"/>
                  </w14:solidFill>
                </w14:textFill>
              </w:rPr>
            </w:pPr>
          </w:p>
        </w:tc>
        <w:tc>
          <w:tcPr>
            <w:tcW w:w="1045" w:type="dxa"/>
            <w:vAlign w:val="center"/>
          </w:tcPr>
          <w:p w14:paraId="15B06BA0">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4E76D0DC">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3AD8E5F4">
            <w:pPr>
              <w:spacing w:line="440" w:lineRule="exact"/>
              <w:ind w:firstLine="420"/>
              <w:rPr>
                <w:rFonts w:hint="eastAsia"/>
                <w:color w:val="000000"/>
              </w:rPr>
            </w:pPr>
            <w:r>
              <w:rPr>
                <w:rFonts w:hint="eastAsia"/>
                <w:color w:val="000000"/>
              </w:rPr>
              <w:t>优（5 分）：完全满足施工需要，管理人员配备齐全且具有丰富地同类经验。</w:t>
            </w:r>
          </w:p>
          <w:p w14:paraId="2D2F022B">
            <w:pPr>
              <w:spacing w:line="440" w:lineRule="exact"/>
              <w:ind w:firstLine="420"/>
              <w:rPr>
                <w:rFonts w:hint="eastAsia"/>
                <w:color w:val="000000"/>
              </w:rPr>
            </w:pPr>
            <w:r>
              <w:rPr>
                <w:rFonts w:hint="eastAsia"/>
                <w:color w:val="000000"/>
              </w:rPr>
              <w:t>良（4 分）：满足施工需要，管理人员配备齐全且有一定的同类项目经验。</w:t>
            </w:r>
          </w:p>
          <w:p w14:paraId="2DF207A1">
            <w:pPr>
              <w:spacing w:line="440" w:lineRule="exact"/>
              <w:ind w:firstLine="420"/>
              <w:rPr>
                <w:rFonts w:hint="eastAsia"/>
                <w:color w:val="000000"/>
              </w:rPr>
            </w:pPr>
            <w:r>
              <w:rPr>
                <w:rFonts w:hint="eastAsia"/>
                <w:color w:val="000000"/>
              </w:rPr>
              <w:t>中（3 分）：基本满足施工需要，管理人员配备齐全。</w:t>
            </w:r>
          </w:p>
          <w:p w14:paraId="55C0070A">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E2DF1E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F7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603B467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149BE628">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1BCF1E3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分）</w:t>
            </w:r>
          </w:p>
        </w:tc>
        <w:tc>
          <w:tcPr>
            <w:tcW w:w="6179" w:type="dxa"/>
            <w:vAlign w:val="center"/>
          </w:tcPr>
          <w:p w14:paraId="181F84D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0439590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516BD0B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5EC2CE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0CE40091">
            <w:pPr>
              <w:spacing w:line="360" w:lineRule="auto"/>
              <w:jc w:val="center"/>
              <w:rPr>
                <w:color w:val="000000" w:themeColor="text1"/>
                <w14:textFill>
                  <w14:solidFill>
                    <w14:schemeClr w14:val="tx1"/>
                  </w14:solidFill>
                </w14:textFill>
              </w:rPr>
            </w:pPr>
            <w:r>
              <w:rPr>
                <w:rFonts w:hint="eastAsia" w:ascii="宋体" w:hAnsi="宋体" w:cs="Tahoma"/>
                <w:color w:val="000000" w:themeColor="text1"/>
                <w:kern w:val="0"/>
                <w:szCs w:val="21"/>
                <w:lang w:val="en-US" w:eastAsia="zh-CN"/>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0BED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EC1C41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9C4AE3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A62552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分）</w:t>
            </w:r>
          </w:p>
        </w:tc>
        <w:tc>
          <w:tcPr>
            <w:tcW w:w="6179" w:type="dxa"/>
            <w:vAlign w:val="center"/>
          </w:tcPr>
          <w:p w14:paraId="519C75C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2108CFD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648EDEC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0AB6D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EED435A">
            <w:pPr>
              <w:spacing w:line="360" w:lineRule="auto"/>
              <w:rPr>
                <w:rFonts w:ascii="宋体" w:hAnsi="宋体" w:cs="Tahoma"/>
                <w:color w:val="000000" w:themeColor="text1"/>
                <w:kern w:val="0"/>
                <w:szCs w:val="21"/>
                <w14:textFill>
                  <w14:solidFill>
                    <w14:schemeClr w14:val="tx1"/>
                  </w14:solidFill>
                </w14:textFill>
              </w:rPr>
            </w:pPr>
          </w:p>
          <w:p w14:paraId="0BD5115A">
            <w:pPr>
              <w:spacing w:line="360" w:lineRule="auto"/>
              <w:rPr>
                <w:rFonts w:ascii="宋体" w:hAnsi="宋体" w:cs="Tahoma"/>
                <w:color w:val="000000" w:themeColor="text1"/>
                <w:kern w:val="0"/>
                <w:szCs w:val="21"/>
                <w14:textFill>
                  <w14:solidFill>
                    <w14:schemeClr w14:val="tx1"/>
                  </w14:solidFill>
                </w14:textFill>
              </w:rPr>
            </w:pPr>
          </w:p>
          <w:p w14:paraId="026ACE99">
            <w:pPr>
              <w:spacing w:line="360" w:lineRule="auto"/>
              <w:rPr>
                <w:rFonts w:ascii="宋体" w:hAnsi="宋体" w:cs="Tahoma"/>
                <w:color w:val="000000" w:themeColor="text1"/>
                <w:kern w:val="0"/>
                <w:szCs w:val="21"/>
                <w14:textFill>
                  <w14:solidFill>
                    <w14:schemeClr w14:val="tx1"/>
                  </w14:solidFill>
                </w14:textFill>
              </w:rPr>
            </w:pPr>
          </w:p>
          <w:p w14:paraId="4A845BCE">
            <w:pPr>
              <w:spacing w:line="360" w:lineRule="auto"/>
              <w:rPr>
                <w:color w:val="000000" w:themeColor="text1"/>
                <w14:textFill>
                  <w14:solidFill>
                    <w14:schemeClr w14:val="tx1"/>
                  </w14:solidFill>
                </w14:textFill>
              </w:rPr>
            </w:pPr>
            <w:r>
              <w:rPr>
                <w:rFonts w:hint="eastAsia" w:ascii="宋体" w:hAnsi="宋体" w:cs="Tahoma"/>
                <w:color w:val="000000" w:themeColor="text1"/>
                <w:kern w:val="0"/>
                <w:szCs w:val="21"/>
                <w:lang w:val="en-US" w:eastAsia="zh-CN"/>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662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DEFA3E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C179E0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500299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DD0E63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308FC1E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0F70F85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DDC35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A10CC01">
            <w:pPr>
              <w:spacing w:line="360" w:lineRule="auto"/>
              <w:rPr>
                <w:rFonts w:ascii="宋体" w:hAnsi="宋体" w:cs="Tahoma"/>
                <w:color w:val="000000" w:themeColor="text1"/>
                <w:kern w:val="0"/>
                <w:szCs w:val="21"/>
                <w14:textFill>
                  <w14:solidFill>
                    <w14:schemeClr w14:val="tx1"/>
                  </w14:solidFill>
                </w14:textFill>
              </w:rPr>
            </w:pPr>
          </w:p>
          <w:p w14:paraId="67FD6CBA">
            <w:pPr>
              <w:spacing w:line="360" w:lineRule="auto"/>
              <w:rPr>
                <w:rFonts w:ascii="宋体" w:hAnsi="宋体" w:cs="Tahoma"/>
                <w:color w:val="000000" w:themeColor="text1"/>
                <w:kern w:val="0"/>
                <w:szCs w:val="21"/>
                <w14:textFill>
                  <w14:solidFill>
                    <w14:schemeClr w14:val="tx1"/>
                  </w14:solidFill>
                </w14:textFill>
              </w:rPr>
            </w:pPr>
          </w:p>
          <w:p w14:paraId="091BD108">
            <w:pPr>
              <w:spacing w:line="360" w:lineRule="auto"/>
              <w:rPr>
                <w:rFonts w:ascii="宋体" w:hAnsi="宋体" w:cs="Tahoma"/>
                <w:color w:val="000000" w:themeColor="text1"/>
                <w:kern w:val="0"/>
                <w:szCs w:val="21"/>
                <w14:textFill>
                  <w14:solidFill>
                    <w14:schemeClr w14:val="tx1"/>
                  </w14:solidFill>
                </w14:textFill>
              </w:rPr>
            </w:pPr>
          </w:p>
          <w:p w14:paraId="54115905">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B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C619AF0">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4A3DED">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BF413F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6F6928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267D49A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548BA9F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23EA14F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0C1662B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53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AAC014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2938838">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4CF8FE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80D3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5A2AA7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20A754C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45F39BB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60057242">
            <w:pPr>
              <w:spacing w:line="360" w:lineRule="auto"/>
              <w:rPr>
                <w:rFonts w:ascii="宋体" w:hAnsi="宋体" w:cs="Tahoma"/>
                <w:color w:val="000000" w:themeColor="text1"/>
                <w:kern w:val="0"/>
                <w:szCs w:val="21"/>
                <w14:textFill>
                  <w14:solidFill>
                    <w14:schemeClr w14:val="tx1"/>
                  </w14:solidFill>
                </w14:textFill>
              </w:rPr>
            </w:pPr>
          </w:p>
          <w:p w14:paraId="0AF14F9D">
            <w:pPr>
              <w:spacing w:line="360" w:lineRule="auto"/>
              <w:rPr>
                <w:rFonts w:ascii="宋体" w:hAnsi="宋体" w:cs="Tahoma"/>
                <w:color w:val="000000" w:themeColor="text1"/>
                <w:kern w:val="0"/>
                <w:szCs w:val="21"/>
                <w14:textFill>
                  <w14:solidFill>
                    <w14:schemeClr w14:val="tx1"/>
                  </w14:solidFill>
                </w14:textFill>
              </w:rPr>
            </w:pPr>
          </w:p>
          <w:p w14:paraId="706C23DC">
            <w:pPr>
              <w:spacing w:line="360" w:lineRule="auto"/>
              <w:rPr>
                <w:rFonts w:ascii="宋体" w:hAnsi="宋体" w:cs="Tahoma"/>
                <w:color w:val="000000" w:themeColor="text1"/>
                <w:kern w:val="0"/>
                <w:szCs w:val="21"/>
                <w14:textFill>
                  <w14:solidFill>
                    <w14:schemeClr w14:val="tx1"/>
                  </w14:solidFill>
                </w14:textFill>
              </w:rPr>
            </w:pPr>
          </w:p>
          <w:p w14:paraId="4C41B61F">
            <w:pPr>
              <w:spacing w:line="360" w:lineRule="auto"/>
              <w:rPr>
                <w:rFonts w:ascii="宋体" w:hAnsi="宋体" w:cs="Tahoma"/>
                <w:color w:val="000000" w:themeColor="text1"/>
                <w:kern w:val="0"/>
                <w:szCs w:val="21"/>
                <w14:textFill>
                  <w14:solidFill>
                    <w14:schemeClr w14:val="tx1"/>
                  </w14:solidFill>
                </w14:textFill>
              </w:rPr>
            </w:pPr>
          </w:p>
          <w:p w14:paraId="0CE2A598">
            <w:pPr>
              <w:spacing w:line="360" w:lineRule="auto"/>
              <w:rPr>
                <w:rFonts w:ascii="宋体" w:hAnsi="宋体" w:cs="Tahoma"/>
                <w:color w:val="000000" w:themeColor="text1"/>
                <w:kern w:val="0"/>
                <w:szCs w:val="21"/>
                <w14:textFill>
                  <w14:solidFill>
                    <w14:schemeClr w14:val="tx1"/>
                  </w14:solidFill>
                </w14:textFill>
              </w:rPr>
            </w:pPr>
          </w:p>
          <w:p w14:paraId="1FF241A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94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799B08A4">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DE2832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71890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BC3434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43CFA45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43E3498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2A27FE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2DBD469">
            <w:pPr>
              <w:spacing w:line="360" w:lineRule="auto"/>
              <w:rPr>
                <w:rFonts w:ascii="宋体" w:hAnsi="宋体" w:cs="Tahoma"/>
                <w:color w:val="000000" w:themeColor="text1"/>
                <w:kern w:val="0"/>
                <w:szCs w:val="21"/>
                <w14:textFill>
                  <w14:solidFill>
                    <w14:schemeClr w14:val="tx1"/>
                  </w14:solidFill>
                </w14:textFill>
              </w:rPr>
            </w:pPr>
          </w:p>
          <w:p w14:paraId="0F8B8EBF">
            <w:pPr>
              <w:spacing w:line="360" w:lineRule="auto"/>
              <w:rPr>
                <w:rFonts w:ascii="宋体" w:hAnsi="宋体" w:cs="Tahoma"/>
                <w:color w:val="000000" w:themeColor="text1"/>
                <w:kern w:val="0"/>
                <w:szCs w:val="21"/>
                <w14:textFill>
                  <w14:solidFill>
                    <w14:schemeClr w14:val="tx1"/>
                  </w14:solidFill>
                </w14:textFill>
              </w:rPr>
            </w:pPr>
          </w:p>
          <w:p w14:paraId="46CF5605">
            <w:pPr>
              <w:spacing w:line="360" w:lineRule="auto"/>
              <w:rPr>
                <w:rFonts w:ascii="宋体" w:hAnsi="宋体" w:cs="Tahoma"/>
                <w:color w:val="000000" w:themeColor="text1"/>
                <w:kern w:val="0"/>
                <w:szCs w:val="21"/>
                <w14:textFill>
                  <w14:solidFill>
                    <w14:schemeClr w14:val="tx1"/>
                  </w14:solidFill>
                </w14:textFill>
              </w:rPr>
            </w:pPr>
          </w:p>
          <w:p w14:paraId="43328427">
            <w:pPr>
              <w:spacing w:line="360" w:lineRule="auto"/>
              <w:rPr>
                <w:rFonts w:ascii="宋体" w:hAnsi="宋体" w:cs="Tahoma"/>
                <w:color w:val="000000" w:themeColor="text1"/>
                <w:kern w:val="0"/>
                <w:szCs w:val="21"/>
                <w14:textFill>
                  <w14:solidFill>
                    <w14:schemeClr w14:val="tx1"/>
                  </w14:solidFill>
                </w14:textFill>
              </w:rPr>
            </w:pPr>
          </w:p>
          <w:p w14:paraId="6EB54910">
            <w:pPr>
              <w:spacing w:line="360" w:lineRule="auto"/>
              <w:rPr>
                <w:rFonts w:ascii="宋体" w:hAnsi="宋体" w:cs="Tahoma"/>
                <w:color w:val="000000" w:themeColor="text1"/>
                <w:kern w:val="0"/>
                <w:szCs w:val="21"/>
                <w14:textFill>
                  <w14:solidFill>
                    <w14:schemeClr w14:val="tx1"/>
                  </w14:solidFill>
                </w14:textFill>
              </w:rPr>
            </w:pPr>
          </w:p>
          <w:p w14:paraId="394DE34E">
            <w:pPr>
              <w:spacing w:line="360" w:lineRule="auto"/>
              <w:rPr>
                <w:rFonts w:ascii="宋体" w:hAnsi="宋体" w:cs="Tahoma"/>
                <w:color w:val="000000" w:themeColor="text1"/>
                <w:kern w:val="0"/>
                <w:szCs w:val="21"/>
                <w14:textFill>
                  <w14:solidFill>
                    <w14:schemeClr w14:val="tx1"/>
                  </w14:solidFill>
                </w14:textFill>
              </w:rPr>
            </w:pPr>
          </w:p>
          <w:p w14:paraId="46AB2FF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139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A90C9F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BE947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7C17A9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D50E6C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025C70C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7DB7E71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4212B3A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62E9A93B">
            <w:pPr>
              <w:spacing w:line="360" w:lineRule="auto"/>
              <w:rPr>
                <w:rFonts w:ascii="宋体" w:hAnsi="宋体" w:cs="Tahoma"/>
                <w:color w:val="000000" w:themeColor="text1"/>
                <w:kern w:val="0"/>
                <w:szCs w:val="21"/>
                <w14:textFill>
                  <w14:solidFill>
                    <w14:schemeClr w14:val="tx1"/>
                  </w14:solidFill>
                </w14:textFill>
              </w:rPr>
            </w:pPr>
          </w:p>
          <w:p w14:paraId="567BBB1A">
            <w:pPr>
              <w:spacing w:line="360" w:lineRule="auto"/>
              <w:rPr>
                <w:rFonts w:ascii="宋体" w:hAnsi="宋体" w:cs="Tahoma"/>
                <w:color w:val="000000" w:themeColor="text1"/>
                <w:kern w:val="0"/>
                <w:szCs w:val="21"/>
                <w14:textFill>
                  <w14:solidFill>
                    <w14:schemeClr w14:val="tx1"/>
                  </w14:solidFill>
                </w14:textFill>
              </w:rPr>
            </w:pPr>
          </w:p>
          <w:p w14:paraId="5B2B3B0E">
            <w:pPr>
              <w:spacing w:line="360" w:lineRule="auto"/>
              <w:rPr>
                <w:rFonts w:ascii="宋体" w:hAnsi="宋体" w:cs="Tahoma"/>
                <w:color w:val="000000" w:themeColor="text1"/>
                <w:kern w:val="0"/>
                <w:szCs w:val="21"/>
                <w14:textFill>
                  <w14:solidFill>
                    <w14:schemeClr w14:val="tx1"/>
                  </w14:solidFill>
                </w14:textFill>
              </w:rPr>
            </w:pPr>
          </w:p>
          <w:p w14:paraId="585FA1FF">
            <w:pPr>
              <w:spacing w:line="360" w:lineRule="auto"/>
              <w:rPr>
                <w:rFonts w:ascii="宋体" w:hAnsi="宋体" w:cs="Tahoma"/>
                <w:color w:val="000000" w:themeColor="text1"/>
                <w:kern w:val="0"/>
                <w:szCs w:val="21"/>
                <w14:textFill>
                  <w14:solidFill>
                    <w14:schemeClr w14:val="tx1"/>
                  </w14:solidFill>
                </w14:textFill>
              </w:rPr>
            </w:pPr>
          </w:p>
          <w:p w14:paraId="1098CA41">
            <w:pPr>
              <w:spacing w:line="360" w:lineRule="auto"/>
              <w:rPr>
                <w:rFonts w:ascii="宋体" w:hAnsi="宋体" w:cs="Tahoma"/>
                <w:color w:val="000000" w:themeColor="text1"/>
                <w:kern w:val="0"/>
                <w:szCs w:val="21"/>
                <w14:textFill>
                  <w14:solidFill>
                    <w14:schemeClr w14:val="tx1"/>
                  </w14:solidFill>
                </w14:textFill>
              </w:rPr>
            </w:pPr>
          </w:p>
          <w:p w14:paraId="688B9B9A">
            <w:pPr>
              <w:spacing w:line="360" w:lineRule="auto"/>
              <w:rPr>
                <w:rFonts w:ascii="宋体" w:hAnsi="宋体" w:cs="Tahoma"/>
                <w:color w:val="000000" w:themeColor="text1"/>
                <w:kern w:val="0"/>
                <w:szCs w:val="21"/>
                <w14:textFill>
                  <w14:solidFill>
                    <w14:schemeClr w14:val="tx1"/>
                  </w14:solidFill>
                </w14:textFill>
              </w:rPr>
            </w:pPr>
          </w:p>
          <w:p w14:paraId="63CD477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15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3C7354EB">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70B132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07892E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4E6A9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435AFFE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704358B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24668C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39D37E8">
            <w:pPr>
              <w:spacing w:line="360" w:lineRule="auto"/>
              <w:rPr>
                <w:rFonts w:ascii="宋体" w:hAnsi="宋体" w:cs="Tahoma"/>
                <w:color w:val="000000" w:themeColor="text1"/>
                <w:kern w:val="0"/>
                <w:szCs w:val="21"/>
                <w14:textFill>
                  <w14:solidFill>
                    <w14:schemeClr w14:val="tx1"/>
                  </w14:solidFill>
                </w14:textFill>
              </w:rPr>
            </w:pPr>
          </w:p>
          <w:p w14:paraId="6B91E607">
            <w:pPr>
              <w:spacing w:line="360" w:lineRule="auto"/>
              <w:rPr>
                <w:rFonts w:ascii="宋体" w:hAnsi="宋体" w:cs="Tahoma"/>
                <w:color w:val="000000" w:themeColor="text1"/>
                <w:kern w:val="0"/>
                <w:szCs w:val="21"/>
                <w14:textFill>
                  <w14:solidFill>
                    <w14:schemeClr w14:val="tx1"/>
                  </w14:solidFill>
                </w14:textFill>
              </w:rPr>
            </w:pPr>
          </w:p>
          <w:p w14:paraId="683620D9">
            <w:pPr>
              <w:spacing w:line="360" w:lineRule="auto"/>
              <w:rPr>
                <w:rFonts w:ascii="宋体" w:hAnsi="宋体" w:cs="Tahoma"/>
                <w:color w:val="000000" w:themeColor="text1"/>
                <w:kern w:val="0"/>
                <w:szCs w:val="21"/>
                <w14:textFill>
                  <w14:solidFill>
                    <w14:schemeClr w14:val="tx1"/>
                  </w14:solidFill>
                </w14:textFill>
              </w:rPr>
            </w:pPr>
          </w:p>
          <w:p w14:paraId="56D066E6">
            <w:pPr>
              <w:spacing w:line="360" w:lineRule="auto"/>
              <w:rPr>
                <w:rFonts w:ascii="宋体" w:hAnsi="宋体" w:cs="Tahoma"/>
                <w:color w:val="000000" w:themeColor="text1"/>
                <w:kern w:val="0"/>
                <w:szCs w:val="21"/>
                <w14:textFill>
                  <w14:solidFill>
                    <w14:schemeClr w14:val="tx1"/>
                  </w14:solidFill>
                </w14:textFill>
              </w:rPr>
            </w:pPr>
          </w:p>
          <w:p w14:paraId="5409F106">
            <w:pPr>
              <w:spacing w:line="360" w:lineRule="auto"/>
              <w:rPr>
                <w:rFonts w:ascii="宋体" w:hAnsi="宋体" w:cs="Tahoma"/>
                <w:color w:val="000000" w:themeColor="text1"/>
                <w:kern w:val="0"/>
                <w:szCs w:val="21"/>
                <w14:textFill>
                  <w14:solidFill>
                    <w14:schemeClr w14:val="tx1"/>
                  </w14:solidFill>
                </w14:textFill>
              </w:rPr>
            </w:pPr>
          </w:p>
          <w:p w14:paraId="5040D1A0">
            <w:pPr>
              <w:spacing w:line="360" w:lineRule="auto"/>
              <w:rPr>
                <w:rFonts w:ascii="宋体" w:hAnsi="宋体" w:cs="Tahoma"/>
                <w:color w:val="000000" w:themeColor="text1"/>
                <w:kern w:val="0"/>
                <w:szCs w:val="21"/>
                <w14:textFill>
                  <w14:solidFill>
                    <w14:schemeClr w14:val="tx1"/>
                  </w14:solidFill>
                </w14:textFill>
              </w:rPr>
            </w:pPr>
          </w:p>
          <w:p w14:paraId="0BF3D4A4">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A39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46008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0DDC1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78D762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042CA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00E3695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027CA7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3A08705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249E30CC">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D9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71B0FD11">
            <w:pPr>
              <w:pStyle w:val="26"/>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p>
        </w:tc>
        <w:tc>
          <w:tcPr>
            <w:tcW w:w="853" w:type="dxa"/>
            <w:vAlign w:val="center"/>
          </w:tcPr>
          <w:p w14:paraId="4B2074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3B8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32D2D217">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本项目为施工项目，不涉及政策功能的节能，环保分加分。</w:t>
            </w:r>
          </w:p>
        </w:tc>
      </w:tr>
    </w:tbl>
    <w:p w14:paraId="0553E6FC">
      <w:pPr>
        <w:pStyle w:val="2"/>
        <w:jc w:val="both"/>
        <w:rPr>
          <w:rFonts w:hint="eastAsia"/>
          <w:color w:val="000000" w:themeColor="text1"/>
          <w14:textFill>
            <w14:solidFill>
              <w14:schemeClr w14:val="tx1"/>
            </w14:solidFill>
          </w14:textFill>
        </w:rPr>
      </w:pPr>
    </w:p>
    <w:p w14:paraId="6C834857">
      <w:pPr>
        <w:pStyle w:val="2"/>
        <w:jc w:val="center"/>
        <w:rPr>
          <w:rFonts w:hint="eastAsia"/>
          <w:color w:val="000000" w:themeColor="text1"/>
          <w14:textFill>
            <w14:solidFill>
              <w14:schemeClr w14:val="tx1"/>
            </w14:solidFill>
          </w14:textFill>
        </w:rPr>
      </w:pPr>
    </w:p>
    <w:p w14:paraId="46579DCA">
      <w:pPr>
        <w:rPr>
          <w:rFonts w:hint="eastAsia"/>
          <w:color w:val="000000" w:themeColor="text1"/>
          <w14:textFill>
            <w14:solidFill>
              <w14:schemeClr w14:val="tx1"/>
            </w14:solidFill>
          </w14:textFill>
        </w:rPr>
      </w:pPr>
    </w:p>
    <w:p w14:paraId="049C981B">
      <w:pPr>
        <w:rPr>
          <w:rFonts w:hint="eastAsia"/>
          <w:color w:val="000000" w:themeColor="text1"/>
          <w14:textFill>
            <w14:solidFill>
              <w14:schemeClr w14:val="tx1"/>
            </w14:solidFill>
          </w14:textFill>
        </w:rPr>
      </w:pPr>
    </w:p>
    <w:p w14:paraId="6029D860">
      <w:pPr>
        <w:rPr>
          <w:rFonts w:hint="eastAsia"/>
          <w:color w:val="000000" w:themeColor="text1"/>
          <w14:textFill>
            <w14:solidFill>
              <w14:schemeClr w14:val="tx1"/>
            </w14:solidFill>
          </w14:textFill>
        </w:rPr>
      </w:pPr>
    </w:p>
    <w:p w14:paraId="58631CB5">
      <w:pPr>
        <w:rPr>
          <w:rFonts w:hint="eastAsia"/>
          <w:color w:val="000000" w:themeColor="text1"/>
          <w14:textFill>
            <w14:solidFill>
              <w14:schemeClr w14:val="tx1"/>
            </w14:solidFill>
          </w14:textFill>
        </w:rPr>
      </w:pPr>
    </w:p>
    <w:p w14:paraId="0AD8B740">
      <w:pPr>
        <w:rPr>
          <w:rFonts w:hint="eastAsia"/>
          <w:color w:val="000000" w:themeColor="text1"/>
          <w14:textFill>
            <w14:solidFill>
              <w14:schemeClr w14:val="tx1"/>
            </w14:solidFill>
          </w14:textFill>
        </w:rPr>
      </w:pPr>
    </w:p>
    <w:p w14:paraId="4104A2E7">
      <w:pPr>
        <w:rPr>
          <w:rFonts w:hint="eastAsia"/>
          <w:color w:val="000000" w:themeColor="text1"/>
          <w14:textFill>
            <w14:solidFill>
              <w14:schemeClr w14:val="tx1"/>
            </w14:solidFill>
          </w14:textFill>
        </w:rPr>
      </w:pPr>
    </w:p>
    <w:p w14:paraId="29CC6C48">
      <w:pPr>
        <w:rPr>
          <w:rFonts w:hint="eastAsia"/>
          <w:color w:val="000000" w:themeColor="text1"/>
          <w14:textFill>
            <w14:solidFill>
              <w14:schemeClr w14:val="tx1"/>
            </w14:solidFill>
          </w14:textFill>
        </w:rPr>
      </w:pPr>
    </w:p>
    <w:p w14:paraId="4CACD620">
      <w:pPr>
        <w:pStyle w:val="2"/>
        <w:jc w:val="center"/>
        <w:rPr>
          <w:rFonts w:hint="eastAsia"/>
          <w:color w:val="000000" w:themeColor="text1"/>
          <w14:textFill>
            <w14:solidFill>
              <w14:schemeClr w14:val="tx1"/>
            </w14:solidFill>
          </w14:textFill>
        </w:rPr>
      </w:pPr>
    </w:p>
    <w:p w14:paraId="170DF9A3">
      <w:pPr>
        <w:pStyle w:val="2"/>
        <w:jc w:val="center"/>
        <w:rPr>
          <w:rFonts w:hint="eastAsia"/>
          <w:color w:val="000000" w:themeColor="text1"/>
          <w14:textFill>
            <w14:solidFill>
              <w14:schemeClr w14:val="tx1"/>
            </w14:solidFill>
          </w14:textFill>
        </w:rPr>
      </w:pPr>
    </w:p>
    <w:p w14:paraId="10A9CA73">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79E58E01">
      <w:pPr>
        <w:pStyle w:val="2"/>
        <w:jc w:val="center"/>
        <w:rPr>
          <w:color w:val="000000" w:themeColor="text1"/>
          <w14:textFill>
            <w14:solidFill>
              <w14:schemeClr w14:val="tx1"/>
            </w14:solidFill>
          </w14:textFill>
        </w:rPr>
      </w:pPr>
    </w:p>
    <w:p w14:paraId="69E4DF2E">
      <w:pPr>
        <w:pStyle w:val="2"/>
        <w:spacing w:before="0" w:after="0" w:line="360" w:lineRule="auto"/>
        <w:jc w:val="center"/>
        <w:rPr>
          <w:rFonts w:ascii="宋体" w:cs="宋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4D465BF6">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kern w:val="44"/>
          <w:highlight w:val="none"/>
          <w14:textFill>
            <w14:solidFill>
              <w14:schemeClr w14:val="tx1"/>
            </w14:solidFill>
          </w14:textFill>
        </w:rPr>
      </w:pPr>
      <w:bookmarkStart w:id="77" w:name="_Toc1386396751"/>
      <w:bookmarkStart w:id="78" w:name="_Toc78449869"/>
      <w:bookmarkStart w:id="79" w:name="_Toc407135284"/>
      <w:bookmarkStart w:id="80" w:name="_Toc1392571603"/>
      <w:r>
        <w:rPr>
          <w:color w:val="000000" w:themeColor="text1"/>
          <w:highlight w:val="none"/>
          <w14:textFill>
            <w14:solidFill>
              <w14:schemeClr w14:val="tx1"/>
            </w14:solidFill>
          </w14:textFill>
        </w:rPr>
        <w:t>1.</w:t>
      </w:r>
      <w:r>
        <w:rPr>
          <w:rFonts w:hint="eastAsia" w:cs="黑体"/>
          <w:color w:val="000000" w:themeColor="text1"/>
          <w:highlight w:val="none"/>
          <w14:textFill>
            <w14:solidFill>
              <w14:schemeClr w14:val="tx1"/>
            </w14:solidFill>
          </w14:textFill>
        </w:rPr>
        <w:t>工程量清单编制说明</w:t>
      </w:r>
      <w:bookmarkEnd w:id="77"/>
      <w:bookmarkEnd w:id="78"/>
      <w:bookmarkEnd w:id="79"/>
      <w:bookmarkEnd w:id="80"/>
    </w:p>
    <w:p w14:paraId="44993B7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本工程量清单依据《建设工程工程量清单计价规范（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50500-2013</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《计价规范》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）、《建设工程工程量清单计算规范广西壮族自治区实施细则</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50854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50862-2013)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修订本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《计算规范》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号）、磋商文件、施工图等编制。计算规范中没有的清单项目，应在本章第</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款约定。</w:t>
      </w:r>
    </w:p>
    <w:p w14:paraId="47F28CD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工程量清单应与供应商须知、合同协议条款、合同的通用条款、合同专用条款、技术规范及图纸等文件一起结合使用。</w:t>
      </w:r>
    </w:p>
    <w:p w14:paraId="4A30269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工程量清单是磋商文件的组成部分，是工程量清单计价的基础，作为编制招标控制价、竞标报价、计算或调整工程量、索赔等的依据之一。</w:t>
      </w:r>
    </w:p>
    <w:p w14:paraId="7BEFFDC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补充清单项目的特征、计量单位、工程量计算规则及工作内容说明如下：</w:t>
      </w:r>
      <w:r>
        <w:rPr>
          <w:rFonts w:hint="eastAsia"/>
          <w:color w:val="000000" w:themeColor="text1"/>
          <w14:textFill>
            <w14:solidFill>
              <w14:schemeClr w14:val="tx1"/>
            </w14:solidFill>
          </w14:textFill>
        </w:rPr>
        <w:t>无</w:t>
      </w:r>
      <w:r>
        <w:rPr>
          <w:rFonts w:hint="eastAsia" w:hAnsi="宋体" w:cs="宋体"/>
          <w:color w:val="000000" w:themeColor="text1"/>
          <w14:textFill>
            <w14:solidFill>
              <w14:schemeClr w14:val="tx1"/>
            </w14:solidFill>
          </w14:textFill>
        </w:rPr>
        <w:t>。</w:t>
      </w:r>
    </w:p>
    <w:p w14:paraId="426B7D5D">
      <w:pPr>
        <w:pStyle w:val="26"/>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t>
      </w:r>
      <w:r>
        <w:rPr>
          <w:rFonts w:hint="eastAsia" w:ascii="Times New Roman" w:hAnsi="Times New Roman"/>
          <w:color w:val="000000" w:themeColor="text1"/>
          <w14:textFill>
            <w14:solidFill>
              <w14:schemeClr w14:val="tx1"/>
            </w14:solidFill>
          </w14:textFill>
        </w:rPr>
        <w:t>《允许调整主要材料和工程设备一览表》（表</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，表格编号为计价规范相应表格编号，下同）作为项目实施过程中材料和设备价格风险调整依据。</w:t>
      </w:r>
    </w:p>
    <w:p w14:paraId="096DA3F6">
      <w:pPr>
        <w:pStyle w:val="26"/>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w:t>
      </w:r>
      <w:r>
        <w:rPr>
          <w:rFonts w:hint="eastAsia" w:ascii="Times New Roman" w:hAnsi="Times New Roman"/>
          <w:color w:val="000000" w:themeColor="text1"/>
          <w14:textFill>
            <w14:solidFill>
              <w14:schemeClr w14:val="tx1"/>
            </w14:solidFill>
          </w14:textFill>
        </w:rPr>
        <w:t>本工程暂列金额（约按合同造价</w:t>
      </w:r>
      <w:r>
        <w:rPr>
          <w:rFonts w:ascii="Times New Roman" w:hAnsi="Times New Roman"/>
          <w:color w:val="000000" w:themeColor="text1"/>
          <w:u w:val="single"/>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计算），共</w:t>
      </w:r>
      <w:r>
        <w:rPr>
          <w:rFonts w:ascii="Times New Roman" w:hAnsi="Times New Roman"/>
          <w:color w:val="000000" w:themeColor="text1"/>
          <w:u w:val="single"/>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元，作为合同签订时尚未确定或者不可预见但施工中可能发生的费用。</w:t>
      </w:r>
    </w:p>
    <w:p w14:paraId="7723BF71">
      <w:pPr>
        <w:pStyle w:val="26"/>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t>
      </w:r>
      <w:r>
        <w:rPr>
          <w:rFonts w:hint="eastAsia" w:ascii="Times New Roman" w:hAnsi="Times New Roman"/>
          <w:color w:val="000000" w:themeColor="text1"/>
          <w14:textFill>
            <w14:solidFill>
              <w14:schemeClr w14:val="tx1"/>
            </w14:solidFill>
          </w14:textFill>
        </w:rPr>
        <w:t>本工程发包人提供的材料和设备详见《发包人提供的主要材料和工程设备一览表》（表</w:t>
      </w:r>
      <w:r>
        <w:rPr>
          <w:rFonts w:ascii="Times New Roman" w:hAnsi="Times New Roman"/>
          <w:color w:val="000000" w:themeColor="text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p>
    <w:p w14:paraId="5FBC393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本工程部分材料和设备在招标时作为暂估价计列，结算按实调整，具体内容详见《材料（工程设备）暂估单价及调整表》（表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617DE145">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招标时暂估专业工程的价款属于暂估价，结算按实调整，具体内容详见《专业工程暂估价及结算价表》（表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0DD1C01A">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本工程量清单编码处标注</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号的清单项目作为主要清单项目，需要供应商提供</w:t>
      </w:r>
      <w:r>
        <w:rPr>
          <w:rFonts w:hint="eastAsia" w:hAnsi="宋体"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w:t>
      </w:r>
    </w:p>
    <w:p w14:paraId="0B5AFC7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其它需要说明的问题：</w:t>
      </w:r>
      <w:r>
        <w:rPr>
          <w:rFonts w:hint="eastAsia"/>
          <w:color w:val="000000" w:themeColor="text1"/>
          <w:u w:val="single"/>
          <w14:textFill>
            <w14:solidFill>
              <w14:schemeClr w14:val="tx1"/>
            </w14:solidFill>
          </w14:textFill>
        </w:rPr>
        <w:t>无</w:t>
      </w:r>
      <w:r>
        <w:rPr>
          <w:rFonts w:hint="eastAsia" w:cs="宋体"/>
          <w:color w:val="000000" w:themeColor="text1"/>
          <w14:textFill>
            <w14:solidFill>
              <w14:schemeClr w14:val="tx1"/>
            </w14:solidFill>
          </w14:textFill>
        </w:rPr>
        <w:t>。</w:t>
      </w:r>
    </w:p>
    <w:p w14:paraId="74D019E7">
      <w:pPr>
        <w:pageBreakBefore w:val="0"/>
        <w:widowControl w:val="0"/>
        <w:kinsoku/>
        <w:wordWrap/>
        <w:overflowPunct/>
        <w:topLinePunct w:val="0"/>
        <w:autoSpaceDE/>
        <w:autoSpaceDN/>
        <w:bidi w:val="0"/>
        <w:adjustRightInd/>
        <w:snapToGrid/>
        <w:spacing w:line="500" w:lineRule="exact"/>
        <w:ind w:firstLine="420" w:firstLineChars="2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工程量清单与磋商文件同时发布。一般计税法建设工程的工程量清单表格按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附件“增值税一般计税方法工程计价表”要求提供；简易计税法建设工程按照《计价规范》要求的</w:t>
      </w:r>
      <w:r>
        <w:rPr>
          <w:rFonts w:hint="eastAsia" w:cs="宋体"/>
          <w:color w:val="000000" w:themeColor="text1"/>
          <w14:textFill>
            <w14:solidFill>
              <w14:schemeClr w14:val="tx1"/>
            </w14:solidFill>
          </w14:textFill>
        </w:rPr>
        <w:t>表格提供，但规费和税费要按照《关于建筑业实施营业税改征增值税后广西壮族自治区建设工程计价依据调整的通知》（桂建标〔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s="宋体"/>
          <w:color w:val="000000" w:themeColor="text1"/>
          <w14:textFill>
            <w14:solidFill>
              <w14:schemeClr w14:val="tx1"/>
            </w14:solidFill>
          </w14:textFill>
        </w:rPr>
        <w:t>号）</w:t>
      </w:r>
      <w:r>
        <w:rPr>
          <w:rFonts w:hint="eastAsia" w:ascii="宋体" w:hAnsi="宋体" w:cs="宋体"/>
          <w:color w:val="000000" w:themeColor="text1"/>
          <w14:textFill>
            <w14:solidFill>
              <w14:schemeClr w14:val="tx1"/>
            </w14:solidFill>
          </w14:textFill>
        </w:rPr>
        <w:t>要求调整，具体</w:t>
      </w:r>
      <w:r>
        <w:rPr>
          <w:rFonts w:hint="eastAsia" w:cs="宋体"/>
          <w:color w:val="000000" w:themeColor="text1"/>
          <w14:textFill>
            <w14:solidFill>
              <w14:schemeClr w14:val="tx1"/>
            </w14:solidFill>
          </w14:textFill>
        </w:rPr>
        <w:t>包括：</w:t>
      </w:r>
    </w:p>
    <w:p w14:paraId="5617D43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招标工程量清单（封</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13F65C7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招标工程量清单（封扉</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5DDA5751">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45CEAD9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4746082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2E45225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6DA8176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E826CD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421FC2F8">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E8D49A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A532D4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389133A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专业工程暂估价</w:t>
      </w:r>
      <w:r>
        <w:rPr>
          <w:rFonts w:hint="eastAsia"/>
          <w:color w:val="000000" w:themeColor="text1"/>
          <w14:textFill>
            <w14:solidFill>
              <w14:schemeClr w14:val="tx1"/>
            </w14:solidFill>
          </w14:textFill>
        </w:rPr>
        <w:t>及结算价</w:t>
      </w:r>
      <w:r>
        <w:rPr>
          <w:rFonts w:hint="eastAsia" w:cs="宋体"/>
          <w:color w:val="000000" w:themeColor="text1"/>
          <w14:textFill>
            <w14:solidFill>
              <w14:schemeClr w14:val="tx1"/>
            </w14:solidFill>
          </w14:textFill>
        </w:rPr>
        <w:t>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5F2DA6C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585E7C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17A8A62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1.15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1BC02B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FA2FE5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2989E12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10C0664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AAFDD3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1.20</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41F5A11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注：如本工程在合同中约定采用造价信息价差调整法，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）载明的主要材料和工程设备为本工程允许调整材料和工程设备，工程量清单必须提供该表格，并应载明允许调整材料和工程设备名称型号规格、单位、风险系数、基准单价等内容，且不能提供空白表。</w:t>
      </w:r>
    </w:p>
    <w:p w14:paraId="0632C4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以下表格视工程实际需要选用，如该工程不发生如下表格相关项目和费用，所编制工程量清单则不需列入相应表格：</w:t>
      </w:r>
    </w:p>
    <w:p w14:paraId="56254C0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197E03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2F0F9FF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477B52C9">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36286A9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5EA8F3E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39E6155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54C67752">
      <w:pPr>
        <w:pageBreakBefore w:val="0"/>
        <w:widowControl w:val="0"/>
        <w:kinsoku/>
        <w:wordWrap/>
        <w:overflowPunct/>
        <w:topLinePunct w:val="0"/>
        <w:autoSpaceDE/>
        <w:autoSpaceDN/>
        <w:bidi w:val="0"/>
        <w:adjustRightInd/>
        <w:snapToGrid/>
        <w:spacing w:line="500" w:lineRule="exact"/>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4EA13B3">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14:textFill>
            <w14:solidFill>
              <w14:schemeClr w14:val="tx1"/>
            </w14:solidFill>
          </w14:textFill>
        </w:rPr>
      </w:pPr>
      <w:bookmarkStart w:id="81" w:name="_Toc78449870"/>
      <w:bookmarkStart w:id="82" w:name="_Toc347872619"/>
      <w:bookmarkStart w:id="83" w:name="_Toc990933621"/>
      <w:bookmarkStart w:id="84" w:name="_Toc407135285"/>
      <w:r>
        <w:rPr>
          <w:color w:val="000000" w:themeColor="text1"/>
          <w14:textFill>
            <w14:solidFill>
              <w14:schemeClr w14:val="tx1"/>
            </w14:solidFill>
          </w14:textFill>
        </w:rPr>
        <w:t>2.</w:t>
      </w:r>
      <w:r>
        <w:rPr>
          <w:rFonts w:hint="eastAsia" w:cs="黑体"/>
          <w:color w:val="000000" w:themeColor="text1"/>
          <w14:textFill>
            <w14:solidFill>
              <w14:schemeClr w14:val="tx1"/>
            </w14:solidFill>
          </w14:textFill>
        </w:rPr>
        <w:t>招标控制价编制说明</w:t>
      </w:r>
      <w:bookmarkEnd w:id="81"/>
      <w:bookmarkEnd w:id="82"/>
      <w:bookmarkEnd w:id="83"/>
      <w:bookmarkEnd w:id="84"/>
    </w:p>
    <w:p w14:paraId="70301A0D">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eastAsia="宋体" w:cs="宋体"/>
          <w:color w:val="auto"/>
          <w:lang w:val="en-US" w:eastAsia="zh-CN"/>
        </w:rPr>
      </w:pPr>
      <w:r>
        <w:rPr>
          <w:color w:val="auto"/>
        </w:rPr>
        <w:t xml:space="preserve">2.1 </w:t>
      </w:r>
      <w:r>
        <w:rPr>
          <w:rFonts w:hint="eastAsia" w:hAnsi="宋体" w:cs="宋体"/>
          <w:color w:val="auto"/>
        </w:rPr>
        <w:t>招标控制价编制依据：</w:t>
      </w:r>
      <w:r>
        <w:rPr>
          <w:rFonts w:hint="eastAsia" w:hAnsi="宋体" w:cs="宋体"/>
          <w:color w:val="auto"/>
          <w:lang w:val="en-US" w:eastAsia="zh-CN"/>
        </w:rPr>
        <w:t>/</w:t>
      </w:r>
    </w:p>
    <w:p w14:paraId="039268AC">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bookmarkStart w:id="85" w:name="_Toc407135286"/>
      <w:bookmarkStart w:id="86" w:name="_Toc378483916"/>
      <w:bookmarkStart w:id="87" w:name="_Toc78449871"/>
      <w:bookmarkStart w:id="88" w:name="_Toc879821176"/>
      <w:r>
        <w:rPr>
          <w:color w:val="auto"/>
        </w:rPr>
        <w:t>3.</w:t>
      </w:r>
      <w:r>
        <w:rPr>
          <w:rFonts w:hint="eastAsia" w:cs="黑体"/>
          <w:color w:val="auto"/>
        </w:rPr>
        <w:t>竞标报价（已标价工程量清单）编制说明</w:t>
      </w:r>
      <w:bookmarkEnd w:id="85"/>
      <w:bookmarkEnd w:id="86"/>
      <w:bookmarkEnd w:id="87"/>
      <w:bookmarkEnd w:id="88"/>
    </w:p>
    <w:p w14:paraId="13210CD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3.1 </w:t>
      </w:r>
      <w:r>
        <w:rPr>
          <w:rFonts w:hint="eastAsia" w:cs="宋体"/>
          <w:color w:val="000000" w:themeColor="text1"/>
          <w14:textFill>
            <w14:solidFill>
              <w14:schemeClr w14:val="tx1"/>
            </w14:solidFill>
          </w14:textFill>
        </w:rPr>
        <w:t>供应商应依据磋商文件、工程量清单以及《计价规范》、《计算规范》自主报价，自主报价</w:t>
      </w:r>
      <w:r>
        <w:rPr>
          <w:rFonts w:hint="eastAsia" w:hAnsi="宋体" w:cs="宋体"/>
          <w:color w:val="000000" w:themeColor="text1"/>
          <w14:textFill>
            <w14:solidFill>
              <w14:schemeClr w14:val="tx1"/>
            </w14:solidFill>
          </w14:textFill>
        </w:rPr>
        <w:t>不得违反计价规范强制性条文规定。</w:t>
      </w:r>
      <w:r>
        <w:rPr>
          <w:rFonts w:hint="eastAsia" w:cs="宋体"/>
          <w:color w:val="000000" w:themeColor="text1"/>
          <w14:textFill>
            <w14:solidFill>
              <w14:schemeClr w14:val="tx1"/>
            </w14:solidFill>
          </w14:textFill>
        </w:rPr>
        <w:t>供应商不得采用总价让利或以百分比让利等形式进行报价，任何优惠（或降价、让利）均应反映在相应清单项目的综合单价中。同时，不得出现任意一项单价重大让利，</w:t>
      </w:r>
      <w:r>
        <w:rPr>
          <w:rFonts w:hint="eastAsia" w:hAnsi="宋体" w:cs="宋体"/>
          <w:color w:val="000000" w:themeColor="text1"/>
          <w14:textFill>
            <w14:solidFill>
              <w14:schemeClr w14:val="tx1"/>
            </w14:solidFill>
          </w14:textFill>
        </w:rPr>
        <w:t>不得以自有机械闲置、自有材料等不计成本为由</w:t>
      </w:r>
      <w:r>
        <w:rPr>
          <w:rFonts w:hint="eastAsia" w:cs="宋体"/>
          <w:color w:val="000000" w:themeColor="text1"/>
          <w14:textFill>
            <w14:solidFill>
              <w14:schemeClr w14:val="tx1"/>
            </w14:solidFill>
          </w14:textFill>
        </w:rPr>
        <w:t>低于工程成本报价。</w:t>
      </w:r>
    </w:p>
    <w:p w14:paraId="20BE0A95">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3.2 </w:t>
      </w:r>
      <w:r>
        <w:rPr>
          <w:rFonts w:hint="eastAsia" w:cs="宋体"/>
          <w:color w:val="000000" w:themeColor="text1"/>
          <w14:textFill>
            <w14:solidFill>
              <w14:schemeClr w14:val="tx1"/>
            </w14:solidFill>
          </w14:textFill>
        </w:rPr>
        <w:t>供应商应按工程量清单填报价格。项目编码、项目名称、项目特征、计量单位、工程量必须与工程量清单一致，</w:t>
      </w:r>
      <w:r>
        <w:rPr>
          <w:rFonts w:hint="eastAsia" w:hAnsi="宋体" w:cs="宋体"/>
          <w:color w:val="000000" w:themeColor="text1"/>
          <w14:textFill>
            <w14:solidFill>
              <w14:schemeClr w14:val="tx1"/>
            </w14:solidFill>
          </w14:textFill>
        </w:rPr>
        <w:t>供应商不得对工程量清单项目进行增减调整。</w:t>
      </w:r>
    </w:p>
    <w:p w14:paraId="2D7EC42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3.3 </w:t>
      </w:r>
      <w:r>
        <w:rPr>
          <w:rFonts w:hint="eastAsia" w:cs="宋体"/>
          <w:color w:val="000000" w:themeColor="text1"/>
          <w14:textFill>
            <w14:solidFill>
              <w14:schemeClr w14:val="tx1"/>
            </w14:solidFill>
          </w14:textFill>
        </w:rPr>
        <w:t>综合单价中应包含磋商文件中划分的应由供应商承担的风险范围及其费用。</w:t>
      </w:r>
    </w:p>
    <w:p w14:paraId="1349D783">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3.4 </w:t>
      </w:r>
      <w:r>
        <w:rPr>
          <w:rFonts w:hint="eastAsia" w:hAnsi="宋体" w:cs="宋体"/>
          <w:color w:val="000000" w:themeColor="text1"/>
          <w14:textFill>
            <w14:solidFill>
              <w14:schemeClr w14:val="tx1"/>
            </w14:solidFill>
          </w14:textFill>
        </w:rPr>
        <w:t>分部分项工程项目和单价措施项目，应根据磋商文件和工程量清单项目中的特征描述确定综合单价计算。如出现工程量清单特征描述与设计图纸不符时，供应商应以工程量清单的项目特征描述为准，确定竞标报价的综合单价。</w:t>
      </w:r>
    </w:p>
    <w:p w14:paraId="7BC519A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3.5 </w:t>
      </w:r>
      <w:r>
        <w:rPr>
          <w:rFonts w:hint="eastAsia" w:hAnsi="宋体" w:cs="宋体"/>
          <w:color w:val="000000" w:themeColor="text1"/>
          <w14:textFill>
            <w14:solidFill>
              <w14:schemeClr w14:val="tx1"/>
            </w14:solidFill>
          </w14:textFill>
        </w:rPr>
        <w:t>总价措施项目的金额应根据磋商文件及竞标时拟定的施工组织设计或施工方案，按计价规范的规定自主确定。但</w:t>
      </w:r>
      <w:r>
        <w:rPr>
          <w:rFonts w:hint="eastAsia" w:cs="宋体"/>
          <w:color w:val="000000" w:themeColor="text1"/>
          <w14:textFill>
            <w14:solidFill>
              <w14:schemeClr w14:val="tx1"/>
            </w14:solidFill>
          </w14:textFill>
        </w:rPr>
        <w:t>安全文明施工费按国家、省级或行业建设主管部门的有关规定执行，作为不竞争费用单列。</w:t>
      </w:r>
    </w:p>
    <w:p w14:paraId="7B5AE91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3.6 </w:t>
      </w:r>
      <w:r>
        <w:rPr>
          <w:rFonts w:hint="eastAsia" w:cs="宋体"/>
          <w:color w:val="000000" w:themeColor="text1"/>
          <w14:textFill>
            <w14:solidFill>
              <w14:schemeClr w14:val="tx1"/>
            </w14:solidFill>
          </w14:textFill>
        </w:rPr>
        <w:t>其他项目费应按下列规定报价：</w:t>
      </w:r>
    </w:p>
    <w:p w14:paraId="67209178">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）暂列金额应按工程量清单中列出的金额填写；</w:t>
      </w:r>
    </w:p>
    <w:p w14:paraId="46161089">
      <w:pPr>
        <w:pStyle w:val="198"/>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）材料、工程设备暂估价应按工程量清单中列出的单价计入综合单价；</w:t>
      </w:r>
    </w:p>
    <w:p w14:paraId="3E3B6C2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）专业工程暂估价应按工程量清单中列出的金额填写；</w:t>
      </w:r>
    </w:p>
    <w:p w14:paraId="622FBDA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s="宋体"/>
          <w:color w:val="000000" w:themeColor="text1"/>
          <w14:textFill>
            <w14:solidFill>
              <w14:schemeClr w14:val="tx1"/>
            </w14:solidFill>
          </w14:textFill>
        </w:rPr>
        <w:t>）计日工应按工程量清单中列出的项目和估算数量，自主确定综合单价并计算计日工总额；计日工单价均不含规费和税金；</w:t>
      </w:r>
    </w:p>
    <w:p w14:paraId="4A91A398">
      <w:pPr>
        <w:pageBreakBefore w:val="0"/>
        <w:widowControl w:val="0"/>
        <w:kinsoku/>
        <w:wordWrap/>
        <w:overflowPunct/>
        <w:topLinePunct w:val="0"/>
        <w:autoSpaceDE/>
        <w:autoSpaceDN/>
        <w:bidi w:val="0"/>
        <w:adjustRightInd/>
        <w:snapToGrid/>
        <w:spacing w:line="500" w:lineRule="exact"/>
        <w:ind w:firstLine="420" w:firstLineChars="200"/>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s="宋体"/>
          <w:color w:val="000000" w:themeColor="text1"/>
          <w14:textFill>
            <w14:solidFill>
              <w14:schemeClr w14:val="tx1"/>
            </w14:solidFill>
          </w14:textFill>
        </w:rPr>
        <w:t>）总承包服务费应根据工程量清单中列出的内容</w:t>
      </w:r>
      <w:r>
        <w:rPr>
          <w:rFonts w:hint="eastAsia" w:hAnsi="宋体" w:cs="宋体"/>
          <w:color w:val="000000" w:themeColor="text1"/>
          <w14:textFill>
            <w14:solidFill>
              <w14:schemeClr w14:val="tx1"/>
            </w14:solidFill>
          </w14:textFill>
        </w:rPr>
        <w:t>和供应材料、设备情况，按照采购人提出的协调、配合与服务要求和施工现场管理需要</w:t>
      </w:r>
      <w:r>
        <w:rPr>
          <w:rFonts w:hint="eastAsia" w:cs="宋体"/>
          <w:color w:val="000000" w:themeColor="text1"/>
          <w14:textFill>
            <w14:solidFill>
              <w14:schemeClr w14:val="tx1"/>
            </w14:solidFill>
          </w14:textFill>
        </w:rPr>
        <w:t>自主确定。</w:t>
      </w:r>
    </w:p>
    <w:p w14:paraId="76752D67">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）对建设单位创建优质工程的，鼓励在招标控制价和预算中按我区工程建设定额规定计列工程优质费，并明确工程优质费不可竞争。</w:t>
      </w:r>
    </w:p>
    <w:p w14:paraId="2B8D31F9">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3.7 </w:t>
      </w:r>
      <w:r>
        <w:rPr>
          <w:rFonts w:hint="eastAsia" w:cs="宋体"/>
          <w:color w:val="000000" w:themeColor="text1"/>
          <w14:textFill>
            <w14:solidFill>
              <w14:schemeClr w14:val="tx1"/>
            </w14:solidFill>
          </w14:textFill>
        </w:rPr>
        <w:t>规费和增值税应按规定确定，作为不可竞争费用。</w:t>
      </w:r>
    </w:p>
    <w:p w14:paraId="1918905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3.8 </w:t>
      </w:r>
      <w:r>
        <w:rPr>
          <w:rFonts w:hint="eastAsia" w:cs="宋体"/>
          <w:color w:val="000000" w:themeColor="text1"/>
          <w14:textFill>
            <w14:solidFill>
              <w14:schemeClr w14:val="tx1"/>
            </w14:solidFill>
          </w14:textFill>
        </w:rPr>
        <w:t>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208BCF9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3.9 </w:t>
      </w:r>
      <w:r>
        <w:rPr>
          <w:rFonts w:hint="eastAsia" w:cs="宋体"/>
          <w:color w:val="000000" w:themeColor="text1"/>
          <w14:textFill>
            <w14:solidFill>
              <w14:schemeClr w14:val="tx1"/>
            </w14:solidFill>
          </w14:textFill>
        </w:rPr>
        <w:t>投标总价应当与分部分项工程费、措施项目费、其他项目费和规费、增值税的合计金额一致。</w:t>
      </w:r>
    </w:p>
    <w:p w14:paraId="151273E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3.10</w:t>
      </w:r>
      <w:r>
        <w:rPr>
          <w:rFonts w:hint="eastAsia" w:cs="宋体"/>
          <w:color w:val="000000" w:themeColor="text1"/>
          <w14:textFill>
            <w14:solidFill>
              <w14:schemeClr w14:val="tx1"/>
            </w14:solidFill>
          </w14:textFill>
        </w:rPr>
        <w:t>供应商应按《允许调整主要材料和工程设备一览表》的内容填报，不得擅自调整材料和设备名称型号规格、单位、风险系数、基准单价。</w:t>
      </w:r>
    </w:p>
    <w:p w14:paraId="4DA7D2A6">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cs="宋体"/>
          <w:color w:val="000000" w:themeColor="text1"/>
          <w14:textFill>
            <w14:solidFill>
              <w14:schemeClr w14:val="tx1"/>
            </w14:solidFill>
          </w14:textFill>
        </w:rPr>
      </w:pPr>
      <w:r>
        <w:rPr>
          <w:color w:val="000000" w:themeColor="text1"/>
          <w14:textFill>
            <w14:solidFill>
              <w14:schemeClr w14:val="tx1"/>
            </w14:solidFill>
          </w14:textFill>
        </w:rPr>
        <w:t>3.11</w:t>
      </w:r>
      <w:r>
        <w:rPr>
          <w:rFonts w:hint="eastAsia" w:hAnsi="宋体" w:cs="宋体"/>
          <w:color w:val="000000" w:themeColor="text1"/>
          <w14:textFill>
            <w14:solidFill>
              <w14:schemeClr w14:val="tx1"/>
            </w14:solidFill>
          </w14:textFill>
        </w:rPr>
        <w:t>竞标报价</w:t>
      </w:r>
      <w:r>
        <w:rPr>
          <w:rFonts w:hint="eastAsia" w:cs="宋体"/>
          <w:color w:val="000000" w:themeColor="text1"/>
          <w14:textFill>
            <w14:solidFill>
              <w14:schemeClr w14:val="tx1"/>
            </w14:solidFill>
          </w14:textFill>
        </w:rPr>
        <w:t>表格按本工程工程量清单表格要求填写，并</w:t>
      </w:r>
      <w:r>
        <w:rPr>
          <w:rFonts w:hint="eastAsia" w:hAnsi="宋体" w:cs="宋体"/>
          <w:color w:val="000000" w:themeColor="text1"/>
          <w14:textFill>
            <w14:solidFill>
              <w14:schemeClr w14:val="tx1"/>
            </w14:solidFill>
          </w14:textFill>
        </w:rPr>
        <w:t>应按磋商文件的要求，附上《工程量清单综合单价分析表》（表</w:t>
      </w:r>
      <w:r>
        <w:rPr>
          <w:color w:val="000000" w:themeColor="text1"/>
          <w14:textFill>
            <w14:solidFill>
              <w14:schemeClr w14:val="tx1"/>
            </w14:solidFill>
          </w14:textFill>
        </w:rPr>
        <w:t>-09</w:t>
      </w:r>
      <w:r>
        <w:rPr>
          <w:rFonts w:hint="eastAsia" w:hAnsi="宋体" w:cs="宋体"/>
          <w:color w:val="000000" w:themeColor="text1"/>
          <w14:textFill>
            <w14:solidFill>
              <w14:schemeClr w14:val="tx1"/>
            </w14:solidFill>
          </w14:textFill>
        </w:rPr>
        <w:t>）和《主要清单项目工料机分析表》（表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p>
    <w:p w14:paraId="140AC5B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u w:val="single"/>
          <w14:textFill>
            <w14:solidFill>
              <w14:schemeClr w14:val="tx1"/>
            </w14:solidFill>
          </w14:textFill>
        </w:rPr>
      </w:pPr>
      <w:r>
        <w:rPr>
          <w:rFonts w:hint="eastAsia" w:cs="宋体"/>
          <w:color w:val="000000" w:themeColor="text1"/>
          <w14:textFill>
            <w14:solidFill>
              <w14:schemeClr w14:val="tx1"/>
            </w14:solidFill>
          </w14:textFill>
        </w:rPr>
        <w:t>未尽事宜详见本工程工程量清单、招标控制价编制说明以及现行《计价规范》等有关规定执行。</w:t>
      </w:r>
    </w:p>
    <w:p w14:paraId="525AB885">
      <w:pPr>
        <w:pStyle w:val="3"/>
        <w:pageBreakBefore w:val="0"/>
        <w:widowControl w:val="0"/>
        <w:kinsoku/>
        <w:wordWrap/>
        <w:overflowPunct/>
        <w:topLinePunct w:val="0"/>
        <w:autoSpaceDE/>
        <w:autoSpaceDN/>
        <w:bidi w:val="0"/>
        <w:adjustRightInd/>
        <w:snapToGrid/>
        <w:spacing w:before="0" w:after="0" w:line="500" w:lineRule="exact"/>
        <w:textAlignment w:val="auto"/>
        <w:rPr>
          <w:rFonts w:cs="黑体"/>
          <w:color w:val="000000" w:themeColor="text1"/>
          <w14:textFill>
            <w14:solidFill>
              <w14:schemeClr w14:val="tx1"/>
            </w14:solidFill>
          </w14:textFill>
        </w:rPr>
      </w:pPr>
      <w:r>
        <w:rPr>
          <w:rFonts w:cs="黑体"/>
          <w:color w:val="000000" w:themeColor="text1"/>
          <w14:textFill>
            <w14:solidFill>
              <w14:schemeClr w14:val="tx1"/>
            </w14:solidFill>
          </w14:textFill>
        </w:rPr>
        <w:t>4.</w:t>
      </w:r>
      <w:r>
        <w:rPr>
          <w:rFonts w:hint="eastAsia" w:cs="黑体"/>
          <w:color w:val="000000" w:themeColor="text1"/>
          <w14:textFill>
            <w14:solidFill>
              <w14:schemeClr w14:val="tx1"/>
            </w14:solidFill>
          </w14:textFill>
        </w:rPr>
        <w:t>工程量清单和图纸（另册）</w:t>
      </w:r>
    </w:p>
    <w:p w14:paraId="31E5B485">
      <w:pPr>
        <w:pStyle w:val="3"/>
        <w:spacing w:before="0" w:after="0" w:line="360" w:lineRule="auto"/>
        <w:jc w:val="center"/>
        <w:rPr>
          <w:color w:val="000000" w:themeColor="text1"/>
          <w14:textFill>
            <w14:solidFill>
              <w14:schemeClr w14:val="tx1"/>
            </w14:solidFill>
          </w14:textFill>
        </w:rPr>
      </w:pPr>
      <w:r>
        <w:rPr>
          <w:rFonts w:cs="黑体"/>
          <w:color w:val="000000" w:themeColor="text1"/>
          <w14:textFill>
            <w14:solidFill>
              <w14:schemeClr w14:val="tx1"/>
            </w14:solidFill>
          </w14:textFill>
        </w:rPr>
        <w:br w:type="page"/>
      </w:r>
    </w:p>
    <w:p w14:paraId="026467EA">
      <w:pPr>
        <w:pStyle w:val="4"/>
        <w:spacing w:before="0" w:after="0" w:line="360" w:lineRule="auto"/>
        <w:rPr>
          <w:color w:val="000000" w:themeColor="text1"/>
          <w14:textFill>
            <w14:solidFill>
              <w14:schemeClr w14:val="tx1"/>
            </w14:solidFill>
          </w14:textFill>
        </w:rPr>
      </w:pPr>
    </w:p>
    <w:p w14:paraId="71297CF1">
      <w:pPr>
        <w:rPr>
          <w:color w:val="000000" w:themeColor="text1"/>
          <w14:textFill>
            <w14:solidFill>
              <w14:schemeClr w14:val="tx1"/>
            </w14:solidFill>
          </w14:textFill>
        </w:rPr>
      </w:pPr>
    </w:p>
    <w:p w14:paraId="4E0E90AB">
      <w:pPr>
        <w:rPr>
          <w:color w:val="000000" w:themeColor="text1"/>
          <w14:textFill>
            <w14:solidFill>
              <w14:schemeClr w14:val="tx1"/>
            </w14:solidFill>
          </w14:textFill>
        </w:rPr>
      </w:pPr>
    </w:p>
    <w:p w14:paraId="364330A9">
      <w:pPr>
        <w:rPr>
          <w:color w:val="000000" w:themeColor="text1"/>
          <w14:textFill>
            <w14:solidFill>
              <w14:schemeClr w14:val="tx1"/>
            </w14:solidFill>
          </w14:textFill>
        </w:rPr>
      </w:pPr>
    </w:p>
    <w:p w14:paraId="4EBA39CF">
      <w:pPr>
        <w:rPr>
          <w:color w:val="000000" w:themeColor="text1"/>
          <w14:textFill>
            <w14:solidFill>
              <w14:schemeClr w14:val="tx1"/>
            </w14:solidFill>
          </w14:textFill>
        </w:rPr>
      </w:pPr>
    </w:p>
    <w:p w14:paraId="1294C7D3">
      <w:pPr>
        <w:rPr>
          <w:color w:val="000000" w:themeColor="text1"/>
          <w14:textFill>
            <w14:solidFill>
              <w14:schemeClr w14:val="tx1"/>
            </w14:solidFill>
          </w14:textFill>
        </w:rPr>
      </w:pPr>
    </w:p>
    <w:p w14:paraId="19259515">
      <w:pPr>
        <w:rPr>
          <w:color w:val="000000" w:themeColor="text1"/>
          <w14:textFill>
            <w14:solidFill>
              <w14:schemeClr w14:val="tx1"/>
            </w14:solidFill>
          </w14:textFill>
        </w:rPr>
      </w:pPr>
    </w:p>
    <w:p w14:paraId="686FE657">
      <w:pPr>
        <w:rPr>
          <w:color w:val="000000" w:themeColor="text1"/>
          <w14:textFill>
            <w14:solidFill>
              <w14:schemeClr w14:val="tx1"/>
            </w14:solidFill>
          </w14:textFill>
        </w:rPr>
      </w:pPr>
    </w:p>
    <w:p w14:paraId="55B73977">
      <w:pPr>
        <w:pStyle w:val="64"/>
        <w:ind w:firstLine="480"/>
        <w:rPr>
          <w:color w:val="000000" w:themeColor="text1"/>
          <w:lang w:eastAsia="zh-CN"/>
          <w14:textFill>
            <w14:solidFill>
              <w14:schemeClr w14:val="tx1"/>
            </w14:solidFill>
          </w14:textFill>
        </w:rPr>
      </w:pPr>
    </w:p>
    <w:p w14:paraId="323E2892">
      <w:pPr>
        <w:rPr>
          <w:color w:val="000000" w:themeColor="text1"/>
          <w14:textFill>
            <w14:solidFill>
              <w14:schemeClr w14:val="tx1"/>
            </w14:solidFill>
          </w14:textFill>
        </w:rPr>
      </w:pPr>
    </w:p>
    <w:p w14:paraId="650DA15B">
      <w:pPr>
        <w:rPr>
          <w:color w:val="000000" w:themeColor="text1"/>
          <w14:textFill>
            <w14:solidFill>
              <w14:schemeClr w14:val="tx1"/>
            </w14:solidFill>
          </w14:textFill>
        </w:rPr>
      </w:pPr>
    </w:p>
    <w:p w14:paraId="09E45045">
      <w:pPr>
        <w:rPr>
          <w:color w:val="000000" w:themeColor="text1"/>
          <w14:textFill>
            <w14:solidFill>
              <w14:schemeClr w14:val="tx1"/>
            </w14:solidFill>
          </w14:textFill>
        </w:rPr>
      </w:pPr>
    </w:p>
    <w:p w14:paraId="5F7697EA">
      <w:pPr>
        <w:rPr>
          <w:color w:val="000000" w:themeColor="text1"/>
          <w14:textFill>
            <w14:solidFill>
              <w14:schemeClr w14:val="tx1"/>
            </w14:solidFill>
          </w14:textFill>
        </w:rPr>
      </w:pPr>
    </w:p>
    <w:p w14:paraId="686EF1DB">
      <w:pPr>
        <w:rPr>
          <w:color w:val="000000" w:themeColor="text1"/>
          <w14:textFill>
            <w14:solidFill>
              <w14:schemeClr w14:val="tx1"/>
            </w14:solidFill>
          </w14:textFill>
        </w:rPr>
      </w:pPr>
    </w:p>
    <w:p w14:paraId="22DC4D90">
      <w:pPr>
        <w:rPr>
          <w:color w:val="000000" w:themeColor="text1"/>
          <w14:textFill>
            <w14:solidFill>
              <w14:schemeClr w14:val="tx1"/>
            </w14:solidFill>
          </w14:textFill>
        </w:rPr>
      </w:pPr>
    </w:p>
    <w:p w14:paraId="26CBF943">
      <w:pPr>
        <w:pStyle w:val="2"/>
        <w:jc w:val="center"/>
        <w:rPr>
          <w:color w:val="000000" w:themeColor="text1"/>
          <w14:textFill>
            <w14:solidFill>
              <w14:schemeClr w14:val="tx1"/>
            </w14:solidFill>
          </w14:textFill>
        </w:rPr>
      </w:pPr>
      <w:bookmarkStart w:id="89" w:name="_Toc74323460"/>
      <w:r>
        <w:rPr>
          <w:rFonts w:hint="eastAsia"/>
          <w:color w:val="000000" w:themeColor="text1"/>
          <w14:textFill>
            <w14:solidFill>
              <w14:schemeClr w14:val="tx1"/>
            </w14:solidFill>
          </w14:textFill>
        </w:rPr>
        <w:t>第六章响应文件格式</w:t>
      </w:r>
      <w:bookmarkEnd w:id="89"/>
    </w:p>
    <w:p w14:paraId="5441DA9D">
      <w:pPr>
        <w:spacing w:line="240" w:lineRule="atLeast"/>
        <w:rPr>
          <w:rFonts w:ascii="宋体"/>
          <w:b/>
          <w:color w:val="000000" w:themeColor="text1"/>
          <w:sz w:val="32"/>
          <w:szCs w:val="32"/>
          <w14:textFill>
            <w14:solidFill>
              <w14:schemeClr w14:val="tx1"/>
            </w14:solidFill>
          </w14:textFill>
        </w:rPr>
      </w:pPr>
    </w:p>
    <w:p w14:paraId="18F07E2B">
      <w:pPr>
        <w:spacing w:line="240" w:lineRule="atLeast"/>
        <w:rPr>
          <w:rFonts w:ascii="宋体"/>
          <w:b/>
          <w:color w:val="000000" w:themeColor="text1"/>
          <w:sz w:val="32"/>
          <w:szCs w:val="32"/>
          <w14:textFill>
            <w14:solidFill>
              <w14:schemeClr w14:val="tx1"/>
            </w14:solidFill>
          </w14:textFill>
        </w:rPr>
      </w:pPr>
    </w:p>
    <w:p w14:paraId="326D4BDA">
      <w:pPr>
        <w:spacing w:line="240" w:lineRule="atLeast"/>
        <w:rPr>
          <w:rFonts w:ascii="宋体"/>
          <w:b/>
          <w:color w:val="000000" w:themeColor="text1"/>
          <w:sz w:val="32"/>
          <w:szCs w:val="32"/>
          <w14:textFill>
            <w14:solidFill>
              <w14:schemeClr w14:val="tx1"/>
            </w14:solidFill>
          </w14:textFill>
        </w:rPr>
      </w:pPr>
    </w:p>
    <w:p w14:paraId="6AF55D4A">
      <w:pPr>
        <w:spacing w:line="240" w:lineRule="atLeast"/>
        <w:rPr>
          <w:rFonts w:ascii="宋体"/>
          <w:b/>
          <w:color w:val="000000" w:themeColor="text1"/>
          <w:sz w:val="32"/>
          <w:szCs w:val="32"/>
          <w14:textFill>
            <w14:solidFill>
              <w14:schemeClr w14:val="tx1"/>
            </w14:solidFill>
          </w14:textFill>
        </w:rPr>
      </w:pPr>
    </w:p>
    <w:p w14:paraId="032DA8E1">
      <w:pPr>
        <w:spacing w:line="240" w:lineRule="atLeast"/>
        <w:rPr>
          <w:rFonts w:ascii="宋体"/>
          <w:b/>
          <w:color w:val="000000" w:themeColor="text1"/>
          <w:sz w:val="32"/>
          <w:szCs w:val="32"/>
          <w14:textFill>
            <w14:solidFill>
              <w14:schemeClr w14:val="tx1"/>
            </w14:solidFill>
          </w14:textFill>
        </w:rPr>
      </w:pPr>
    </w:p>
    <w:p w14:paraId="25558DC7">
      <w:pPr>
        <w:spacing w:line="240" w:lineRule="atLeast"/>
        <w:rPr>
          <w:rFonts w:ascii="宋体"/>
          <w:b/>
          <w:color w:val="000000" w:themeColor="text1"/>
          <w:sz w:val="32"/>
          <w:szCs w:val="32"/>
          <w14:textFill>
            <w14:solidFill>
              <w14:schemeClr w14:val="tx1"/>
            </w14:solidFill>
          </w14:textFill>
        </w:rPr>
      </w:pPr>
    </w:p>
    <w:p w14:paraId="5BDB6195">
      <w:pPr>
        <w:spacing w:line="240" w:lineRule="atLeast"/>
        <w:rPr>
          <w:rFonts w:ascii="宋体"/>
          <w:b/>
          <w:color w:val="000000" w:themeColor="text1"/>
          <w:sz w:val="32"/>
          <w:szCs w:val="32"/>
          <w14:textFill>
            <w14:solidFill>
              <w14:schemeClr w14:val="tx1"/>
            </w14:solidFill>
          </w14:textFill>
        </w:rPr>
      </w:pPr>
    </w:p>
    <w:p w14:paraId="7754E4C0">
      <w:pPr>
        <w:spacing w:line="240" w:lineRule="atLeast"/>
        <w:rPr>
          <w:rFonts w:ascii="宋体"/>
          <w:b/>
          <w:color w:val="000000" w:themeColor="text1"/>
          <w:sz w:val="32"/>
          <w:szCs w:val="32"/>
          <w14:textFill>
            <w14:solidFill>
              <w14:schemeClr w14:val="tx1"/>
            </w14:solidFill>
          </w14:textFill>
        </w:rPr>
      </w:pPr>
    </w:p>
    <w:p w14:paraId="4CCEF5B8">
      <w:pPr>
        <w:spacing w:line="240" w:lineRule="atLeast"/>
        <w:rPr>
          <w:rFonts w:ascii="宋体"/>
          <w:b/>
          <w:color w:val="000000" w:themeColor="text1"/>
          <w:sz w:val="32"/>
          <w:szCs w:val="32"/>
          <w14:textFill>
            <w14:solidFill>
              <w14:schemeClr w14:val="tx1"/>
            </w14:solidFill>
          </w14:textFill>
        </w:rPr>
      </w:pPr>
    </w:p>
    <w:p w14:paraId="63D808D5">
      <w:pPr>
        <w:spacing w:line="240" w:lineRule="atLeast"/>
        <w:rPr>
          <w:rFonts w:ascii="宋体"/>
          <w:b/>
          <w:color w:val="000000" w:themeColor="text1"/>
          <w:sz w:val="32"/>
          <w:szCs w:val="32"/>
          <w14:textFill>
            <w14:solidFill>
              <w14:schemeClr w14:val="tx1"/>
            </w14:solidFill>
          </w14:textFill>
        </w:rPr>
      </w:pPr>
    </w:p>
    <w:p w14:paraId="07ECFCFE">
      <w:pPr>
        <w:spacing w:line="240" w:lineRule="atLeast"/>
        <w:rPr>
          <w:rFonts w:ascii="宋体"/>
          <w:b/>
          <w:color w:val="000000" w:themeColor="text1"/>
          <w:sz w:val="32"/>
          <w:szCs w:val="32"/>
          <w14:textFill>
            <w14:solidFill>
              <w14:schemeClr w14:val="tx1"/>
            </w14:solidFill>
          </w14:textFill>
        </w:rPr>
      </w:pPr>
    </w:p>
    <w:p w14:paraId="1B945476">
      <w:pPr>
        <w:snapToGrid w:val="0"/>
        <w:spacing w:before="50" w:after="50"/>
        <w:outlineLvl w:val="1"/>
        <w:rPr>
          <w:rFonts w:ascii="宋体"/>
          <w:b/>
          <w:bCs/>
          <w:color w:val="000000" w:themeColor="text1"/>
          <w:sz w:val="24"/>
          <w14:textFill>
            <w14:solidFill>
              <w14:schemeClr w14:val="tx1"/>
            </w14:solidFill>
          </w14:textFill>
        </w:rPr>
      </w:pPr>
    </w:p>
    <w:p w14:paraId="0CDE1EBB">
      <w:pPr>
        <w:snapToGrid w:val="0"/>
        <w:spacing w:before="120" w:beforeLines="50" w:after="50"/>
        <w:jc w:val="center"/>
        <w:rPr>
          <w:rFonts w:ascii="仿宋_GB2312" w:hAnsi="仿宋_GB2312" w:eastAsia="仿宋_GB2312" w:cs="仿宋_GB2312"/>
          <w:bCs/>
          <w:color w:val="000000" w:themeColor="text1"/>
          <w:sz w:val="32"/>
          <w:szCs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br w:type="page"/>
      </w:r>
    </w:p>
    <w:p w14:paraId="2F321563">
      <w:pPr>
        <w:rPr>
          <w:b/>
          <w:color w:val="000000" w:themeColor="text1"/>
          <w:sz w:val="32"/>
          <w:szCs w:val="32"/>
          <w14:textFill>
            <w14:solidFill>
              <w14:schemeClr w14:val="tx1"/>
            </w14:solidFill>
          </w14:textFill>
        </w:rPr>
      </w:pPr>
      <w:bookmarkStart w:id="90" w:name="_Toc35611438"/>
      <w:bookmarkStart w:id="91" w:name="_Toc44229899"/>
      <w:bookmarkStart w:id="92" w:name="_Toc31728084"/>
      <w:bookmarkStart w:id="93" w:name="_Toc35611516"/>
      <w:bookmarkStart w:id="94" w:name="_Toc71366186"/>
      <w:bookmarkStart w:id="95" w:name="_Toc31723070"/>
      <w:r>
        <w:rPr>
          <w:rFonts w:hint="eastAsia"/>
          <w:b/>
          <w:color w:val="000000" w:themeColor="text1"/>
          <w:sz w:val="32"/>
          <w:szCs w:val="32"/>
          <w14:textFill>
            <w14:solidFill>
              <w14:schemeClr w14:val="tx1"/>
            </w14:solidFill>
          </w14:textFill>
        </w:rPr>
        <w:t>一、资格证明文件格式</w:t>
      </w:r>
      <w:bookmarkEnd w:id="90"/>
      <w:bookmarkEnd w:id="91"/>
      <w:bookmarkEnd w:id="92"/>
      <w:bookmarkEnd w:id="93"/>
      <w:bookmarkEnd w:id="94"/>
      <w:bookmarkEnd w:id="95"/>
    </w:p>
    <w:p w14:paraId="1E6BC815">
      <w:pPr>
        <w:snapToGrid w:val="0"/>
        <w:spacing w:before="120" w:beforeLines="50" w:after="50" w:line="360" w:lineRule="auto"/>
        <w:jc w:val="left"/>
        <w:rPr>
          <w:rFonts w:ascii="宋体"/>
          <w:b/>
          <w:color w:val="000000" w:themeColor="text1"/>
          <w:sz w:val="24"/>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资格证明文件封面格式：</w:t>
      </w:r>
    </w:p>
    <w:p w14:paraId="24306344">
      <w:pPr>
        <w:snapToGrid w:val="0"/>
        <w:spacing w:before="120" w:beforeLines="50" w:after="50"/>
        <w:jc w:val="center"/>
        <w:rPr>
          <w:rFonts w:ascii="宋体"/>
          <w:color w:val="000000" w:themeColor="text1"/>
          <w:sz w:val="44"/>
          <w:szCs w:val="44"/>
          <w14:textFill>
            <w14:solidFill>
              <w14:schemeClr w14:val="tx1"/>
            </w14:solidFill>
          </w14:textFill>
        </w:rPr>
      </w:pPr>
    </w:p>
    <w:p w14:paraId="085BA020">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38E2C51B">
      <w:pPr>
        <w:snapToGrid w:val="0"/>
        <w:spacing w:before="120" w:beforeLines="50" w:after="50"/>
        <w:rPr>
          <w:rFonts w:ascii="宋体"/>
          <w:color w:val="000000" w:themeColor="text1"/>
          <w:sz w:val="24"/>
          <w:szCs w:val="20"/>
          <w14:textFill>
            <w14:solidFill>
              <w14:schemeClr w14:val="tx1"/>
            </w14:solidFill>
          </w14:textFill>
        </w:rPr>
      </w:pPr>
    </w:p>
    <w:p w14:paraId="3B81E2F7">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7C80A128">
      <w:pPr>
        <w:snapToGrid w:val="0"/>
        <w:spacing w:before="120" w:beforeLines="50" w:after="50"/>
        <w:rPr>
          <w:rFonts w:ascii="宋体"/>
          <w:bCs/>
          <w:color w:val="000000" w:themeColor="text1"/>
          <w:sz w:val="24"/>
          <w:szCs w:val="20"/>
          <w14:textFill>
            <w14:solidFill>
              <w14:schemeClr w14:val="tx1"/>
            </w14:solidFill>
          </w14:textFill>
        </w:rPr>
      </w:pPr>
    </w:p>
    <w:p w14:paraId="7E8A21A6">
      <w:pPr>
        <w:snapToGrid w:val="0"/>
        <w:spacing w:before="120" w:beforeLines="50" w:after="50"/>
        <w:rPr>
          <w:rFonts w:ascii="宋体"/>
          <w:bCs/>
          <w:color w:val="000000" w:themeColor="text1"/>
          <w:sz w:val="24"/>
          <w:szCs w:val="20"/>
          <w14:textFill>
            <w14:solidFill>
              <w14:schemeClr w14:val="tx1"/>
            </w14:solidFill>
          </w14:textFill>
        </w:rPr>
      </w:pPr>
    </w:p>
    <w:p w14:paraId="59CB3AFC">
      <w:pPr>
        <w:snapToGrid w:val="0"/>
        <w:spacing w:before="120" w:beforeLines="50" w:after="50"/>
        <w:rPr>
          <w:rFonts w:ascii="宋体"/>
          <w:bCs/>
          <w:color w:val="000000" w:themeColor="text1"/>
          <w:sz w:val="24"/>
          <w:szCs w:val="20"/>
          <w14:textFill>
            <w14:solidFill>
              <w14:schemeClr w14:val="tx1"/>
            </w14:solidFill>
          </w14:textFill>
        </w:rPr>
      </w:pPr>
    </w:p>
    <w:p w14:paraId="7F099D2A">
      <w:pPr>
        <w:snapToGrid w:val="0"/>
        <w:spacing w:before="120" w:beforeLines="50" w:after="50"/>
        <w:rPr>
          <w:rFonts w:ascii="宋体"/>
          <w:bCs/>
          <w:color w:val="000000" w:themeColor="text1"/>
          <w:sz w:val="24"/>
          <w:szCs w:val="20"/>
          <w14:textFill>
            <w14:solidFill>
              <w14:schemeClr w14:val="tx1"/>
            </w14:solidFill>
          </w14:textFill>
        </w:rPr>
      </w:pPr>
    </w:p>
    <w:p w14:paraId="0C9975A9">
      <w:pPr>
        <w:snapToGrid w:val="0"/>
        <w:spacing w:before="120" w:beforeLines="50" w:after="50"/>
        <w:rPr>
          <w:rFonts w:ascii="宋体"/>
          <w:bCs/>
          <w:color w:val="000000" w:themeColor="text1"/>
          <w:sz w:val="24"/>
          <w:szCs w:val="20"/>
          <w14:textFill>
            <w14:solidFill>
              <w14:schemeClr w14:val="tx1"/>
            </w14:solidFill>
          </w14:textFill>
        </w:rPr>
      </w:pPr>
    </w:p>
    <w:p w14:paraId="45D29637">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7E3C905C">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623167B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7C215D6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33B23F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5A678F2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43A4781">
      <w:pPr>
        <w:pStyle w:val="13"/>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F9457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50B41263">
      <w:pPr>
        <w:pStyle w:val="13"/>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8BE2DA9">
      <w:pPr>
        <w:pStyle w:val="13"/>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79EC6DC5">
      <w:pPr>
        <w:pStyle w:val="13"/>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EB45410">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D551D3C">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2F0C0CF7">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5DAEC6A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10BBBF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13567D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4753E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58D390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18818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EAA55B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E5F0AC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E46690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FC5908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F818A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3785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3D490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5D7350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C1043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EF100D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EFF90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406F70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06DD8F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4D3C5C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A0FDA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96EFA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3186A2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4010F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220B880C">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7E95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BFAA48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91AD8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08CB3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747A35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1FBFB2D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7CF8094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E04A64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2222CC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18D40937">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24B4230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6E47EC0B">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0B2512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4A73BF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C35685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745D483F">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3E363D5F">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5E3F2A8">
      <w:pPr>
        <w:pStyle w:val="41"/>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64811441">
      <w:pPr>
        <w:pStyle w:val="41"/>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5B198249">
      <w:pPr>
        <w:pStyle w:val="21"/>
      </w:pPr>
    </w:p>
    <w:p w14:paraId="1692FAD6">
      <w:pPr>
        <w:spacing w:line="300" w:lineRule="auto"/>
        <w:rPr>
          <w:rFonts w:ascii="宋体"/>
          <w:color w:val="000000" w:themeColor="text1"/>
          <w:szCs w:val="21"/>
          <w14:textFill>
            <w14:solidFill>
              <w14:schemeClr w14:val="tx1"/>
            </w14:solidFill>
          </w14:textFill>
        </w:rPr>
      </w:pPr>
    </w:p>
    <w:p w14:paraId="0AD5D7E2">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674A54B5">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9498FB5">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4D3610B">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C7D4C67">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6C83F2CA">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B81CA7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3552A5B3">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727546A">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701C1198">
      <w:pPr>
        <w:spacing w:line="360" w:lineRule="auto"/>
        <w:contextualSpacing/>
        <w:jc w:val="center"/>
        <w:rPr>
          <w:rFonts w:ascii="宋体"/>
          <w:b/>
          <w:color w:val="000000" w:themeColor="text1"/>
          <w:sz w:val="24"/>
          <w14:textFill>
            <w14:solidFill>
              <w14:schemeClr w14:val="tx1"/>
            </w14:solidFill>
          </w14:textFill>
        </w:rPr>
      </w:pPr>
    </w:p>
    <w:tbl>
      <w:tblPr>
        <w:tblStyle w:val="45"/>
        <w:tblW w:w="0" w:type="auto"/>
        <w:jc w:val="center"/>
        <w:tblLayout w:type="fixed"/>
        <w:tblCellMar>
          <w:top w:w="0" w:type="dxa"/>
          <w:left w:w="0" w:type="dxa"/>
          <w:bottom w:w="0" w:type="dxa"/>
          <w:right w:w="0" w:type="dxa"/>
        </w:tblCellMar>
      </w:tblPr>
      <w:tblGrid>
        <w:gridCol w:w="880"/>
        <w:gridCol w:w="2655"/>
        <w:gridCol w:w="1455"/>
        <w:gridCol w:w="4287"/>
        <w:gridCol w:w="870"/>
      </w:tblGrid>
      <w:tr w14:paraId="23FC7B37">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E2367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9807C7">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66FD3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67694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2A3D3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026401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DD2F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27588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EE47A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2584A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F72F2E">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99D0045">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F89A42">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0BB46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795156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7539B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29A81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1E79E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D0E1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33B0F2">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5D9C1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A17CE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3EE477">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71EE5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E45FB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9308C8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58128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102985">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754316">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05AA0A7F">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706E549E">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737B6F">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123D08A3">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6D0DDFC5">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2D0D1F46">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6D1A190">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0191B9A2">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4B738BA8">
      <w:pPr>
        <w:spacing w:line="360" w:lineRule="auto"/>
        <w:ind w:firstLine="480" w:firstLineChars="200"/>
        <w:contextualSpacing/>
        <w:jc w:val="center"/>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12921463">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47D31FE3">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4BB7BE37">
      <w:pPr>
        <w:snapToGrid w:val="0"/>
        <w:spacing w:line="360" w:lineRule="auto"/>
        <w:jc w:val="center"/>
        <w:rPr>
          <w:rFonts w:ascii="宋体"/>
          <w:b/>
          <w:color w:val="000000" w:themeColor="text1"/>
          <w:sz w:val="24"/>
          <w14:textFill>
            <w14:solidFill>
              <w14:schemeClr w14:val="tx1"/>
            </w14:solidFill>
          </w14:textFill>
        </w:rPr>
      </w:pPr>
    </w:p>
    <w:tbl>
      <w:tblPr>
        <w:tblStyle w:val="45"/>
        <w:tblW w:w="0" w:type="auto"/>
        <w:jc w:val="center"/>
        <w:tblLayout w:type="fixed"/>
        <w:tblCellMar>
          <w:top w:w="0" w:type="dxa"/>
          <w:left w:w="0" w:type="dxa"/>
          <w:bottom w:w="0" w:type="dxa"/>
          <w:right w:w="0" w:type="dxa"/>
        </w:tblCellMar>
      </w:tblPr>
      <w:tblGrid>
        <w:gridCol w:w="808"/>
        <w:gridCol w:w="3600"/>
        <w:gridCol w:w="3555"/>
        <w:gridCol w:w="1689"/>
      </w:tblGrid>
      <w:tr w14:paraId="657A374E">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5F0F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DBBF00">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04F26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83612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22AEE89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56FEC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FA355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6048F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EB13D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CB9195F">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9BF64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BD5AB3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DD8BA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A3E6E2">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3710E54E">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31ED9D">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1D840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485D5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334AF8">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7BE8E98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FB6FFC">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C9A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C234B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2F840">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3A1BBB86">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03CD31A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13D7C4D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A694BF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31D7989B">
      <w:pPr>
        <w:spacing w:line="360" w:lineRule="auto"/>
        <w:contextualSpacing/>
        <w:jc w:val="left"/>
        <w:rPr>
          <w:rFonts w:ascii="宋体"/>
          <w:color w:val="000000" w:themeColor="text1"/>
          <w:sz w:val="28"/>
          <w:szCs w:val="28"/>
          <w14:textFill>
            <w14:solidFill>
              <w14:schemeClr w14:val="tx1"/>
            </w14:solidFill>
          </w14:textFill>
        </w:rPr>
      </w:pPr>
    </w:p>
    <w:p w14:paraId="66B05477">
      <w:pPr>
        <w:spacing w:line="360" w:lineRule="auto"/>
        <w:contextualSpacing/>
        <w:jc w:val="left"/>
        <w:rPr>
          <w:rFonts w:ascii="宋体"/>
          <w:color w:val="000000" w:themeColor="text1"/>
          <w:sz w:val="28"/>
          <w:szCs w:val="28"/>
          <w14:textFill>
            <w14:solidFill>
              <w14:schemeClr w14:val="tx1"/>
            </w14:solidFill>
          </w14:textFill>
        </w:rPr>
      </w:pPr>
    </w:p>
    <w:p w14:paraId="3DD94227">
      <w:pPr>
        <w:spacing w:line="360" w:lineRule="auto"/>
        <w:contextualSpacing/>
        <w:jc w:val="left"/>
        <w:rPr>
          <w:color w:val="000000" w:themeColor="text1"/>
          <w:sz w:val="28"/>
          <w:szCs w:val="28"/>
          <w14:textFill>
            <w14:solidFill>
              <w14:schemeClr w14:val="tx1"/>
            </w14:solidFill>
          </w14:textFill>
        </w:rPr>
      </w:pPr>
    </w:p>
    <w:p w14:paraId="46C840B4">
      <w:pPr>
        <w:spacing w:line="360" w:lineRule="auto"/>
        <w:contextualSpacing/>
        <w:jc w:val="left"/>
        <w:rPr>
          <w:color w:val="000000" w:themeColor="text1"/>
          <w:sz w:val="28"/>
          <w:szCs w:val="28"/>
          <w14:textFill>
            <w14:solidFill>
              <w14:schemeClr w14:val="tx1"/>
            </w14:solidFill>
          </w14:textFill>
        </w:rPr>
      </w:pPr>
    </w:p>
    <w:p w14:paraId="2C6E49A0">
      <w:pPr>
        <w:spacing w:line="360" w:lineRule="auto"/>
        <w:contextualSpacing/>
        <w:jc w:val="left"/>
        <w:rPr>
          <w:color w:val="000000" w:themeColor="text1"/>
          <w:sz w:val="28"/>
          <w:szCs w:val="28"/>
          <w14:textFill>
            <w14:solidFill>
              <w14:schemeClr w14:val="tx1"/>
            </w14:solidFill>
          </w14:textFill>
        </w:rPr>
      </w:pPr>
    </w:p>
    <w:p w14:paraId="2C6346E5">
      <w:pPr>
        <w:spacing w:line="360" w:lineRule="auto"/>
        <w:contextualSpacing/>
        <w:jc w:val="left"/>
        <w:rPr>
          <w:rFonts w:ascii="宋体"/>
          <w:color w:val="000000" w:themeColor="text1"/>
          <w:sz w:val="28"/>
          <w:szCs w:val="28"/>
          <w14:textFill>
            <w14:solidFill>
              <w14:schemeClr w14:val="tx1"/>
            </w14:solidFill>
          </w14:textFill>
        </w:rPr>
      </w:pPr>
    </w:p>
    <w:p w14:paraId="12F3BBA6">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2512BA82">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79702C45">
      <w:pPr>
        <w:spacing w:line="360" w:lineRule="auto"/>
        <w:ind w:firstLine="4080" w:firstLineChars="17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116811E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7777763B">
      <w:pPr>
        <w:spacing w:line="320" w:lineRule="exact"/>
        <w:jc w:val="center"/>
        <w:rPr>
          <w:rFonts w:ascii="宋体"/>
          <w:color w:val="000000" w:themeColor="text1"/>
          <w:sz w:val="24"/>
          <w:szCs w:val="20"/>
          <w14:textFill>
            <w14:solidFill>
              <w14:schemeClr w14:val="tx1"/>
            </w14:solidFill>
          </w14:textFill>
        </w:rPr>
      </w:pPr>
    </w:p>
    <w:p w14:paraId="0231A7D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4664D3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02611F2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78E8BD9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12229BC7">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7FEFE36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75B33897">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49E2BEE1">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7DE7071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698C180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3C855A8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1EDEB0FC">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61600F5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3A98E62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6FE9C39B">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66F35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15D3416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50A151B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7DCB9C2">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40CE53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04694A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464986E7">
      <w:pPr>
        <w:pStyle w:val="26"/>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63F0B6D5">
      <w:pPr>
        <w:pStyle w:val="26"/>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17A3DC28">
      <w:pPr>
        <w:pStyle w:val="22"/>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7E7BCA76">
      <w:pPr>
        <w:pStyle w:val="22"/>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2123E10A">
      <w:pPr>
        <w:pStyle w:val="22"/>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440D442A">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0CDF6D42">
      <w:pPr>
        <w:spacing w:line="360" w:lineRule="auto"/>
        <w:contextualSpacing/>
        <w:jc w:val="left"/>
        <w:rPr>
          <w:rFonts w:ascii="宋体" w:cs="宋体"/>
          <w:color w:val="000000" w:themeColor="text1"/>
          <w:szCs w:val="21"/>
          <w14:textFill>
            <w14:solidFill>
              <w14:schemeClr w14:val="tx1"/>
            </w14:solidFill>
          </w14:textFill>
        </w:rPr>
      </w:pPr>
    </w:p>
    <w:p w14:paraId="5B620CBB">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26C7B385">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5C3E5419">
      <w:pPr>
        <w:pStyle w:val="22"/>
        <w:tabs>
          <w:tab w:val="left" w:pos="939"/>
        </w:tabs>
        <w:spacing w:line="360" w:lineRule="auto"/>
        <w:ind w:left="0" w:leftChars="0" w:firstLine="4410" w:firstLineChars="21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69F5A77B">
      <w:pPr>
        <w:pStyle w:val="13"/>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4EE72742">
      <w:pPr>
        <w:pStyle w:val="13"/>
        <w:overflowPunct w:val="0"/>
        <w:spacing w:line="360" w:lineRule="auto"/>
        <w:ind w:firstLine="0"/>
        <w:rPr>
          <w:rFonts w:ascii="宋体"/>
          <w:color w:val="000000" w:themeColor="text1"/>
          <w:sz w:val="24"/>
          <w:szCs w:val="24"/>
          <w14:textFill>
            <w14:solidFill>
              <w14:schemeClr w14:val="tx1"/>
            </w14:solidFill>
          </w14:textFill>
        </w:rPr>
      </w:pPr>
    </w:p>
    <w:p w14:paraId="111D74D6">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0BE95BB9">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415EF259">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45E9D24">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5443E6F1">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314B4ABE">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14B03623">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7FE5E436">
      <w:pPr>
        <w:pStyle w:val="13"/>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30A7DDB2">
      <w:pPr>
        <w:pStyle w:val="13"/>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5425C6B8">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38E5B184">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8A2BF97">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49274F06">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58B6A060">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06C88DA7">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5FB0A54">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7E273137">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69EEF111">
      <w:pPr>
        <w:pStyle w:val="13"/>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4885503B">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27F62DC">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6051842F">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484E7BF">
      <w:pPr>
        <w:snapToGrid w:val="0"/>
        <w:spacing w:before="120" w:beforeLines="50" w:after="50"/>
        <w:rPr>
          <w:rFonts w:ascii="宋体"/>
          <w:bCs/>
          <w:color w:val="000000" w:themeColor="text1"/>
          <w:sz w:val="32"/>
          <w:szCs w:val="20"/>
          <w14:textFill>
            <w14:solidFill>
              <w14:schemeClr w14:val="tx1"/>
            </w14:solidFill>
          </w14:textFill>
        </w:rPr>
      </w:pPr>
    </w:p>
    <w:p w14:paraId="5CF40F1F">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3DB6E23">
      <w:pPr>
        <w:snapToGrid w:val="0"/>
        <w:spacing w:before="120" w:beforeLines="50" w:after="50"/>
        <w:rPr>
          <w:rFonts w:ascii="宋体"/>
          <w:color w:val="000000" w:themeColor="text1"/>
          <w:sz w:val="24"/>
          <w:szCs w:val="20"/>
          <w14:textFill>
            <w14:solidFill>
              <w14:schemeClr w14:val="tx1"/>
            </w14:solidFill>
          </w14:textFill>
        </w:rPr>
      </w:pPr>
    </w:p>
    <w:p w14:paraId="0C124BAE">
      <w:pPr>
        <w:snapToGrid w:val="0"/>
        <w:spacing w:before="120" w:beforeLines="50" w:after="50"/>
        <w:rPr>
          <w:rFonts w:ascii="宋体"/>
          <w:color w:val="000000" w:themeColor="text1"/>
          <w:sz w:val="24"/>
          <w:szCs w:val="20"/>
          <w14:textFill>
            <w14:solidFill>
              <w14:schemeClr w14:val="tx1"/>
            </w14:solidFill>
          </w14:textFill>
        </w:rPr>
      </w:pPr>
    </w:p>
    <w:p w14:paraId="048C697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05D5A6F9">
      <w:pPr>
        <w:snapToGrid w:val="0"/>
        <w:spacing w:before="120" w:beforeLines="50" w:after="50"/>
        <w:rPr>
          <w:rFonts w:ascii="宋体"/>
          <w:bCs/>
          <w:color w:val="000000" w:themeColor="text1"/>
          <w:sz w:val="24"/>
          <w:szCs w:val="20"/>
          <w14:textFill>
            <w14:solidFill>
              <w14:schemeClr w14:val="tx1"/>
            </w14:solidFill>
          </w14:textFill>
        </w:rPr>
      </w:pPr>
    </w:p>
    <w:p w14:paraId="688BF903">
      <w:pPr>
        <w:snapToGrid w:val="0"/>
        <w:spacing w:before="120" w:beforeLines="50" w:after="50"/>
        <w:rPr>
          <w:rFonts w:ascii="宋体"/>
          <w:bCs/>
          <w:color w:val="000000" w:themeColor="text1"/>
          <w:sz w:val="24"/>
          <w:szCs w:val="20"/>
          <w14:textFill>
            <w14:solidFill>
              <w14:schemeClr w14:val="tx1"/>
            </w14:solidFill>
          </w14:textFill>
        </w:rPr>
      </w:pPr>
    </w:p>
    <w:p w14:paraId="21E45ABF">
      <w:pPr>
        <w:snapToGrid w:val="0"/>
        <w:spacing w:before="120" w:beforeLines="50" w:after="50"/>
        <w:rPr>
          <w:rFonts w:ascii="宋体"/>
          <w:bCs/>
          <w:color w:val="000000" w:themeColor="text1"/>
          <w:sz w:val="24"/>
          <w:szCs w:val="20"/>
          <w14:textFill>
            <w14:solidFill>
              <w14:schemeClr w14:val="tx1"/>
            </w14:solidFill>
          </w14:textFill>
        </w:rPr>
      </w:pPr>
    </w:p>
    <w:p w14:paraId="36A5D085">
      <w:pPr>
        <w:snapToGrid w:val="0"/>
        <w:spacing w:before="120" w:beforeLines="50" w:after="50"/>
        <w:rPr>
          <w:rFonts w:ascii="宋体"/>
          <w:bCs/>
          <w:color w:val="000000" w:themeColor="text1"/>
          <w:sz w:val="24"/>
          <w:szCs w:val="20"/>
          <w14:textFill>
            <w14:solidFill>
              <w14:schemeClr w14:val="tx1"/>
            </w14:solidFill>
          </w14:textFill>
        </w:rPr>
      </w:pPr>
    </w:p>
    <w:p w14:paraId="319644E5">
      <w:pPr>
        <w:snapToGrid w:val="0"/>
        <w:spacing w:before="120" w:beforeLines="50" w:after="50"/>
        <w:rPr>
          <w:rFonts w:ascii="宋体"/>
          <w:bCs/>
          <w:color w:val="000000" w:themeColor="text1"/>
          <w:sz w:val="24"/>
          <w:szCs w:val="20"/>
          <w14:textFill>
            <w14:solidFill>
              <w14:schemeClr w14:val="tx1"/>
            </w14:solidFill>
          </w14:textFill>
        </w:rPr>
      </w:pPr>
    </w:p>
    <w:p w14:paraId="590D311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468587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21FD94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5EE9B15">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67D4F45">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A5A511D">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FCC887B">
      <w:pPr>
        <w:pStyle w:val="13"/>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21A8EA56">
      <w:pPr>
        <w:pStyle w:val="13"/>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4213AD6">
      <w:pPr>
        <w:pStyle w:val="13"/>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5A7B70F">
      <w:pPr>
        <w:pStyle w:val="13"/>
        <w:snapToGrid w:val="0"/>
        <w:spacing w:before="50" w:after="50"/>
        <w:ind w:firstLine="0"/>
        <w:rPr>
          <w:rFonts w:ascii="宋体" w:cs="仿宋_GB2312"/>
          <w:bCs/>
          <w:color w:val="000000" w:themeColor="text1"/>
          <w:sz w:val="32"/>
          <w:szCs w:val="32"/>
          <w14:textFill>
            <w14:solidFill>
              <w14:schemeClr w14:val="tx1"/>
            </w14:solidFill>
          </w14:textFill>
        </w:rPr>
      </w:pPr>
    </w:p>
    <w:p w14:paraId="7C7DFD86">
      <w:pPr>
        <w:pStyle w:val="13"/>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69F6484C">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3EC73F7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44F558CF">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14743590">
      <w:pPr>
        <w:spacing w:line="520" w:lineRule="exact"/>
        <w:jc w:val="center"/>
        <w:rPr>
          <w:rFonts w:ascii="宋体" w:cs="方正小标宋简体"/>
          <w:b/>
          <w:bCs/>
          <w:color w:val="000000" w:themeColor="text1"/>
          <w:sz w:val="32"/>
          <w:szCs w:val="32"/>
          <w14:textFill>
            <w14:solidFill>
              <w14:schemeClr w14:val="tx1"/>
            </w14:solidFill>
          </w14:textFill>
        </w:rPr>
      </w:pPr>
    </w:p>
    <w:p w14:paraId="75ED5DA9">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2766DA78">
      <w:pPr>
        <w:spacing w:line="520" w:lineRule="exact"/>
        <w:jc w:val="center"/>
        <w:rPr>
          <w:rFonts w:ascii="宋体" w:cs="方正小标宋简体"/>
          <w:b/>
          <w:bCs/>
          <w:color w:val="000000" w:themeColor="text1"/>
          <w:sz w:val="32"/>
          <w:szCs w:val="32"/>
          <w14:textFill>
            <w14:solidFill>
              <w14:schemeClr w14:val="tx1"/>
            </w14:solidFill>
          </w14:textFill>
        </w:rPr>
      </w:pPr>
    </w:p>
    <w:p w14:paraId="343DF4BC">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2626EA9C">
      <w:pPr>
        <w:pStyle w:val="113"/>
        <w:numPr>
          <w:ilvl w:val="0"/>
          <w:numId w:val="2"/>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96" w:name="bookmark2065"/>
      <w:bookmarkEnd w:id="96"/>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391892DB">
      <w:pPr>
        <w:pStyle w:val="113"/>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401CE2FB">
      <w:pPr>
        <w:pStyle w:val="113"/>
        <w:numPr>
          <w:ilvl w:val="0"/>
          <w:numId w:val="2"/>
        </w:numPr>
        <w:tabs>
          <w:tab w:val="left" w:pos="762"/>
        </w:tabs>
        <w:ind w:firstLine="420"/>
        <w:rPr>
          <w:rFonts w:ascii="Times New Roman"/>
          <w:color w:val="000000" w:themeColor="text1"/>
          <w:szCs w:val="21"/>
          <w14:textFill>
            <w14:solidFill>
              <w14:schemeClr w14:val="tx1"/>
            </w14:solidFill>
          </w14:textFill>
        </w:rPr>
      </w:pPr>
      <w:bookmarkStart w:id="97" w:name="bookmark2067"/>
      <w:bookmarkEnd w:id="97"/>
      <w:bookmarkStart w:id="98" w:name="bookmark2066"/>
      <w:bookmarkEnd w:id="98"/>
      <w:bookmarkStart w:id="99" w:name="bookmark2068"/>
      <w:bookmarkEnd w:id="99"/>
      <w:r>
        <w:rPr>
          <w:rFonts w:hint="eastAsia"/>
          <w:color w:val="000000" w:themeColor="text1"/>
          <w14:textFill>
            <w14:solidFill>
              <w14:schemeClr w14:val="tx1"/>
            </w14:solidFill>
          </w14:textFill>
        </w:rPr>
        <w:t>我方承认竞标函附录是我方竞标函的组成部分。</w:t>
      </w:r>
    </w:p>
    <w:p w14:paraId="1CED1D86">
      <w:pPr>
        <w:pStyle w:val="113"/>
        <w:numPr>
          <w:ilvl w:val="0"/>
          <w:numId w:val="2"/>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3C36DE08">
      <w:pPr>
        <w:pStyle w:val="113"/>
        <w:tabs>
          <w:tab w:val="left" w:pos="903"/>
        </w:tabs>
        <w:ind w:firstLine="420"/>
        <w:rPr>
          <w:rFonts w:ascii="Times New Roman"/>
          <w:color w:val="000000" w:themeColor="text1"/>
          <w:szCs w:val="21"/>
          <w14:textFill>
            <w14:solidFill>
              <w14:schemeClr w14:val="tx1"/>
            </w14:solidFill>
          </w14:textFill>
        </w:rPr>
      </w:pPr>
      <w:bookmarkStart w:id="100" w:name="bookmark2069"/>
      <w:r>
        <w:rPr>
          <w:rFonts w:hint="eastAsia" w:ascii="Times New Roman"/>
          <w:color w:val="000000" w:themeColor="text1"/>
          <w:szCs w:val="21"/>
          <w14:textFill>
            <w14:solidFill>
              <w14:schemeClr w14:val="tx1"/>
            </w14:solidFill>
          </w14:textFill>
        </w:rPr>
        <w:t>（</w:t>
      </w:r>
      <w:bookmarkEnd w:id="100"/>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681930CA">
      <w:pPr>
        <w:pStyle w:val="113"/>
        <w:tabs>
          <w:tab w:val="left" w:pos="903"/>
        </w:tabs>
        <w:ind w:firstLine="420"/>
        <w:rPr>
          <w:rFonts w:ascii="Times New Roman"/>
          <w:color w:val="000000" w:themeColor="text1"/>
          <w:szCs w:val="21"/>
          <w14:textFill>
            <w14:solidFill>
              <w14:schemeClr w14:val="tx1"/>
            </w14:solidFill>
          </w14:textFill>
        </w:rPr>
      </w:pPr>
      <w:bookmarkStart w:id="101" w:name="bookmark2070"/>
      <w:r>
        <w:rPr>
          <w:rFonts w:hint="eastAsia" w:ascii="Times New Roman"/>
          <w:color w:val="000000" w:themeColor="text1"/>
          <w:szCs w:val="21"/>
          <w14:textFill>
            <w14:solidFill>
              <w14:schemeClr w14:val="tx1"/>
            </w14:solidFill>
          </w14:textFill>
        </w:rPr>
        <w:t>（</w:t>
      </w:r>
      <w:bookmarkEnd w:id="101"/>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09EF802">
      <w:pPr>
        <w:pStyle w:val="113"/>
        <w:tabs>
          <w:tab w:val="left" w:pos="903"/>
        </w:tabs>
        <w:ind w:firstLine="420"/>
        <w:rPr>
          <w:rFonts w:ascii="Times New Roman"/>
          <w:color w:val="000000" w:themeColor="text1"/>
          <w:szCs w:val="21"/>
          <w14:textFill>
            <w14:solidFill>
              <w14:schemeClr w14:val="tx1"/>
            </w14:solidFill>
          </w14:textFill>
        </w:rPr>
      </w:pPr>
      <w:bookmarkStart w:id="102" w:name="bookmark2071"/>
      <w:r>
        <w:rPr>
          <w:rFonts w:hint="eastAsia" w:ascii="Times New Roman"/>
          <w:color w:val="000000" w:themeColor="text1"/>
          <w:szCs w:val="21"/>
          <w14:textFill>
            <w14:solidFill>
              <w14:schemeClr w14:val="tx1"/>
            </w14:solidFill>
          </w14:textFill>
        </w:rPr>
        <w:t>（</w:t>
      </w:r>
      <w:bookmarkEnd w:id="102"/>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5DE75E0C">
      <w:pPr>
        <w:pStyle w:val="113"/>
        <w:tabs>
          <w:tab w:val="left" w:pos="903"/>
        </w:tabs>
        <w:ind w:firstLine="420"/>
        <w:rPr>
          <w:rFonts w:ascii="Times New Roman"/>
          <w:color w:val="000000" w:themeColor="text1"/>
          <w:szCs w:val="21"/>
          <w14:textFill>
            <w14:solidFill>
              <w14:schemeClr w14:val="tx1"/>
            </w14:solidFill>
          </w14:textFill>
        </w:rPr>
      </w:pPr>
      <w:bookmarkStart w:id="103" w:name="bookmark2072"/>
      <w:r>
        <w:rPr>
          <w:rFonts w:hint="eastAsia" w:ascii="Times New Roman"/>
          <w:color w:val="000000" w:themeColor="text1"/>
          <w:szCs w:val="21"/>
          <w14:textFill>
            <w14:solidFill>
              <w14:schemeClr w14:val="tx1"/>
            </w14:solidFill>
          </w14:textFill>
        </w:rPr>
        <w:t>（</w:t>
      </w:r>
      <w:bookmarkEnd w:id="103"/>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7F890CBC">
      <w:pPr>
        <w:pStyle w:val="113"/>
        <w:numPr>
          <w:ilvl w:val="0"/>
          <w:numId w:val="2"/>
        </w:numPr>
        <w:tabs>
          <w:tab w:val="left" w:pos="762"/>
        </w:tabs>
        <w:ind w:firstLine="440"/>
        <w:rPr>
          <w:rFonts w:ascii="Times New Roman"/>
          <w:color w:val="000000" w:themeColor="text1"/>
          <w:szCs w:val="21"/>
          <w14:textFill>
            <w14:solidFill>
              <w14:schemeClr w14:val="tx1"/>
            </w14:solidFill>
          </w14:textFill>
        </w:rPr>
      </w:pPr>
      <w:bookmarkStart w:id="104" w:name="bookmark2073"/>
      <w:bookmarkEnd w:id="104"/>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4E20FD09">
      <w:pPr>
        <w:spacing w:line="360" w:lineRule="auto"/>
        <w:ind w:firstLine="420" w:firstLineChars="200"/>
        <w:rPr>
          <w:color w:val="000000" w:themeColor="text1"/>
          <w:szCs w:val="21"/>
          <w14:textFill>
            <w14:solidFill>
              <w14:schemeClr w14:val="tx1"/>
            </w14:solidFill>
          </w14:textFill>
        </w:rPr>
      </w:pPr>
      <w:bookmarkStart w:id="105" w:name="bookmark2074"/>
      <w:bookmarkEnd w:id="105"/>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0AC94338">
      <w:pPr>
        <w:spacing w:line="360" w:lineRule="auto"/>
        <w:jc w:val="center"/>
        <w:rPr>
          <w:rFonts w:ascii="宋体" w:cs="方正小标宋简体"/>
          <w:b/>
          <w:bCs/>
          <w:color w:val="000000" w:themeColor="text1"/>
          <w:sz w:val="32"/>
          <w:szCs w:val="32"/>
          <w14:textFill>
            <w14:solidFill>
              <w14:schemeClr w14:val="tx1"/>
            </w14:solidFill>
          </w14:textFill>
        </w:rPr>
      </w:pPr>
    </w:p>
    <w:p w14:paraId="115836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39B9F34E">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D0396C6">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4ABD2259">
      <w:pPr>
        <w:spacing w:line="360" w:lineRule="auto"/>
        <w:jc w:val="center"/>
        <w:rPr>
          <w:rFonts w:ascii="宋体"/>
          <w:b/>
          <w:bCs/>
          <w:color w:val="000000" w:themeColor="text1"/>
          <w:sz w:val="32"/>
          <w:szCs w:val="32"/>
          <w14:textFill>
            <w14:solidFill>
              <w14:schemeClr w14:val="tx1"/>
            </w14:solidFill>
          </w14:textFill>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703B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5119E4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7B6C47F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71A0FB4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59BF722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57A795A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4A4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73523C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6A104EF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05CE82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BAE741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234771B0">
            <w:pPr>
              <w:jc w:val="center"/>
              <w:rPr>
                <w:color w:val="000000" w:themeColor="text1"/>
                <w14:textFill>
                  <w14:solidFill>
                    <w14:schemeClr w14:val="tx1"/>
                  </w14:solidFill>
                </w14:textFill>
              </w:rPr>
            </w:pPr>
          </w:p>
        </w:tc>
      </w:tr>
      <w:tr w14:paraId="748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FD9852F">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028CE41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1AF65A5D">
            <w:pPr>
              <w:rPr>
                <w:color w:val="000000" w:themeColor="text1"/>
                <w14:textFill>
                  <w14:solidFill>
                    <w14:schemeClr w14:val="tx1"/>
                  </w14:solidFill>
                </w14:textFill>
              </w:rPr>
            </w:pPr>
          </w:p>
        </w:tc>
        <w:tc>
          <w:tcPr>
            <w:tcW w:w="1984" w:type="dxa"/>
            <w:vAlign w:val="center"/>
          </w:tcPr>
          <w:p w14:paraId="2A11E438">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8BB9AB7">
            <w:pPr>
              <w:jc w:val="center"/>
              <w:rPr>
                <w:color w:val="000000" w:themeColor="text1"/>
                <w14:textFill>
                  <w14:solidFill>
                    <w14:schemeClr w14:val="tx1"/>
                  </w14:solidFill>
                </w14:textFill>
              </w:rPr>
            </w:pPr>
          </w:p>
        </w:tc>
      </w:tr>
      <w:tr w14:paraId="145C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CCDC14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232026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7C613E8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CA8EB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2241618">
            <w:pPr>
              <w:jc w:val="center"/>
              <w:rPr>
                <w:color w:val="000000" w:themeColor="text1"/>
                <w14:textFill>
                  <w14:solidFill>
                    <w14:schemeClr w14:val="tx1"/>
                  </w14:solidFill>
                </w14:textFill>
              </w:rPr>
            </w:pPr>
          </w:p>
        </w:tc>
      </w:tr>
      <w:tr w14:paraId="3AC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49426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7685CB8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16653C8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6A12788">
            <w:pPr>
              <w:jc w:val="center"/>
              <w:rPr>
                <w:color w:val="000000" w:themeColor="text1"/>
                <w14:textFill>
                  <w14:solidFill>
                    <w14:schemeClr w14:val="tx1"/>
                  </w14:solidFill>
                </w14:textFill>
              </w:rPr>
            </w:pP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14:textFill>
                  <w14:solidFill>
                    <w14:schemeClr w14:val="tx1"/>
                  </w14:solidFill>
                </w14:textFill>
              </w:rPr>
              <w:t>个月</w:t>
            </w:r>
          </w:p>
        </w:tc>
        <w:tc>
          <w:tcPr>
            <w:tcW w:w="1843" w:type="dxa"/>
            <w:vAlign w:val="center"/>
          </w:tcPr>
          <w:p w14:paraId="60FC34C7">
            <w:pPr>
              <w:jc w:val="center"/>
              <w:rPr>
                <w:color w:val="000000" w:themeColor="text1"/>
                <w14:textFill>
                  <w14:solidFill>
                    <w14:schemeClr w14:val="tx1"/>
                  </w14:solidFill>
                </w14:textFill>
              </w:rPr>
            </w:pPr>
          </w:p>
        </w:tc>
      </w:tr>
      <w:tr w14:paraId="10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5D915A1">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32B666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42F0F81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C495CC3">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4C50D094">
            <w:pPr>
              <w:jc w:val="center"/>
              <w:rPr>
                <w:color w:val="000000" w:themeColor="text1"/>
                <w14:textFill>
                  <w14:solidFill>
                    <w14:schemeClr w14:val="tx1"/>
                  </w14:solidFill>
                </w14:textFill>
              </w:rPr>
            </w:pPr>
          </w:p>
        </w:tc>
      </w:tr>
      <w:tr w14:paraId="36B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EE1B777">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07AC0F99">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45F6BA5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C2832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79B3B143">
            <w:pPr>
              <w:jc w:val="center"/>
              <w:rPr>
                <w:color w:val="000000" w:themeColor="text1"/>
                <w14:textFill>
                  <w14:solidFill>
                    <w14:schemeClr w14:val="tx1"/>
                  </w14:solidFill>
                </w14:textFill>
              </w:rPr>
            </w:pPr>
          </w:p>
        </w:tc>
      </w:tr>
      <w:tr w14:paraId="3DA3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227C66B8">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BBDAA5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3E45E9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64D3331">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12BCD47D">
            <w:pPr>
              <w:jc w:val="center"/>
              <w:rPr>
                <w:color w:val="000000" w:themeColor="text1"/>
                <w14:textFill>
                  <w14:solidFill>
                    <w14:schemeClr w14:val="tx1"/>
                  </w14:solidFill>
                </w14:textFill>
              </w:rPr>
            </w:pPr>
          </w:p>
        </w:tc>
      </w:tr>
      <w:tr w14:paraId="7605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0CA30">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71764FE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42B791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85E5FA3">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15F6EDE0">
            <w:pPr>
              <w:jc w:val="center"/>
              <w:rPr>
                <w:color w:val="000000" w:themeColor="text1"/>
                <w14:textFill>
                  <w14:solidFill>
                    <w14:schemeClr w14:val="tx1"/>
                  </w14:solidFill>
                </w14:textFill>
              </w:rPr>
            </w:pPr>
          </w:p>
        </w:tc>
      </w:tr>
      <w:tr w14:paraId="02A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B222811">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1DF241E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1EDED8A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FA8237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795EDCE4">
            <w:pPr>
              <w:jc w:val="center"/>
              <w:rPr>
                <w:color w:val="000000" w:themeColor="text1"/>
                <w14:textFill>
                  <w14:solidFill>
                    <w14:schemeClr w14:val="tx1"/>
                  </w14:solidFill>
                </w14:textFill>
              </w:rPr>
            </w:pPr>
          </w:p>
        </w:tc>
      </w:tr>
      <w:tr w14:paraId="286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44CC003">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35840DA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23A9090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6A3A15C">
            <w:pPr>
              <w:jc w:val="center"/>
              <w:rPr>
                <w:color w:val="000000" w:themeColor="text1"/>
                <w14:textFill>
                  <w14:solidFill>
                    <w14:schemeClr w14:val="tx1"/>
                  </w14:solidFill>
                </w14:textFill>
              </w:rPr>
            </w:pPr>
          </w:p>
        </w:tc>
        <w:tc>
          <w:tcPr>
            <w:tcW w:w="1843" w:type="dxa"/>
            <w:vAlign w:val="center"/>
          </w:tcPr>
          <w:p w14:paraId="3FE6BB0A">
            <w:pPr>
              <w:jc w:val="center"/>
              <w:rPr>
                <w:color w:val="000000" w:themeColor="text1"/>
                <w14:textFill>
                  <w14:solidFill>
                    <w14:schemeClr w14:val="tx1"/>
                  </w14:solidFill>
                </w14:textFill>
              </w:rPr>
            </w:pPr>
            <w:bookmarkStart w:id="186" w:name="_GoBack"/>
            <w:bookmarkEnd w:id="186"/>
          </w:p>
        </w:tc>
      </w:tr>
      <w:tr w14:paraId="66E4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2126B89">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310C083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556F0EC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CCFF6B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67371947">
            <w:pPr>
              <w:jc w:val="center"/>
              <w:rPr>
                <w:color w:val="000000" w:themeColor="text1"/>
                <w14:textFill>
                  <w14:solidFill>
                    <w14:schemeClr w14:val="tx1"/>
                  </w14:solidFill>
                </w14:textFill>
              </w:rPr>
            </w:pPr>
          </w:p>
        </w:tc>
      </w:tr>
      <w:tr w14:paraId="5BE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CA2532B">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3CEBC4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6D9D87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E6E7F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3D406639">
            <w:pPr>
              <w:jc w:val="center"/>
              <w:rPr>
                <w:color w:val="000000" w:themeColor="text1"/>
                <w14:textFill>
                  <w14:solidFill>
                    <w14:schemeClr w14:val="tx1"/>
                  </w14:solidFill>
                </w14:textFill>
              </w:rPr>
            </w:pPr>
          </w:p>
        </w:tc>
      </w:tr>
      <w:tr w14:paraId="6F2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6C1FEAD">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499C8F7F">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06574607">
            <w:pPr>
              <w:rPr>
                <w:color w:val="000000" w:themeColor="text1"/>
                <w14:textFill>
                  <w14:solidFill>
                    <w14:schemeClr w14:val="tx1"/>
                  </w14:solidFill>
                </w14:textFill>
              </w:rPr>
            </w:pPr>
          </w:p>
        </w:tc>
        <w:tc>
          <w:tcPr>
            <w:tcW w:w="1984" w:type="dxa"/>
            <w:vAlign w:val="center"/>
          </w:tcPr>
          <w:p w14:paraId="4B65F65B">
            <w:pPr>
              <w:jc w:val="center"/>
              <w:rPr>
                <w:color w:val="000000" w:themeColor="text1"/>
                <w14:textFill>
                  <w14:solidFill>
                    <w14:schemeClr w14:val="tx1"/>
                  </w14:solidFill>
                </w14:textFill>
              </w:rPr>
            </w:pPr>
          </w:p>
        </w:tc>
        <w:tc>
          <w:tcPr>
            <w:tcW w:w="1843" w:type="dxa"/>
            <w:vAlign w:val="center"/>
          </w:tcPr>
          <w:p w14:paraId="292E900A">
            <w:pPr>
              <w:jc w:val="center"/>
              <w:rPr>
                <w:color w:val="000000" w:themeColor="text1"/>
                <w14:textFill>
                  <w14:solidFill>
                    <w14:schemeClr w14:val="tx1"/>
                  </w14:solidFill>
                </w14:textFill>
              </w:rPr>
            </w:pPr>
          </w:p>
        </w:tc>
      </w:tr>
      <w:tr w14:paraId="6A5C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3C0A1FC5">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63EDD713">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2DBF771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80DE2B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AFC4FB0">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6E5655C">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FF968C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3C572B5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1E7C2899">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5D6A3C0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16CF162D">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5"/>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7BD5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998F8F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464E2494">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49E99F1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62947011">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6017387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42C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BFE16DE">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2A9D0AD2">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0958546C">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DD12C20">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52FFDB56">
            <w:pPr>
              <w:spacing w:line="360" w:lineRule="auto"/>
              <w:contextualSpacing/>
              <w:rPr>
                <w:rFonts w:ascii="宋体" w:cs="仿宋_GB2312"/>
                <w:color w:val="000000" w:themeColor="text1"/>
                <w:sz w:val="24"/>
                <w14:textFill>
                  <w14:solidFill>
                    <w14:schemeClr w14:val="tx1"/>
                  </w14:solidFill>
                </w14:textFill>
              </w:rPr>
            </w:pPr>
          </w:p>
        </w:tc>
      </w:tr>
    </w:tbl>
    <w:p w14:paraId="0A1FE387">
      <w:pPr>
        <w:spacing w:line="360" w:lineRule="auto"/>
        <w:contextualSpacing/>
        <w:jc w:val="left"/>
        <w:rPr>
          <w:rFonts w:ascii="宋体" w:cs="仿宋_GB2312"/>
          <w:color w:val="000000" w:themeColor="text1"/>
          <w:sz w:val="24"/>
          <w14:textFill>
            <w14:solidFill>
              <w14:schemeClr w14:val="tx1"/>
            </w14:solidFill>
          </w14:textFill>
        </w:rPr>
      </w:pPr>
    </w:p>
    <w:p w14:paraId="71418A15">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67EDCF8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439559D7">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6975627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AD4F439">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6A38B6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631D358D">
      <w:pPr>
        <w:spacing w:line="360" w:lineRule="auto"/>
        <w:ind w:right="-817" w:rightChars="-389"/>
        <w:contextualSpacing/>
        <w:rPr>
          <w:rFonts w:ascii="宋体" w:cs="仿宋_GB2312"/>
          <w:color w:val="000000" w:themeColor="text1"/>
          <w:sz w:val="24"/>
          <w14:textFill>
            <w14:solidFill>
              <w14:schemeClr w14:val="tx1"/>
            </w14:solidFill>
          </w14:textFill>
        </w:rPr>
      </w:pPr>
    </w:p>
    <w:p w14:paraId="627E29C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1FEEE0C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50B3D589">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5130B3D">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0EF1959">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0719796D">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0FEACBD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55A4E59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3E7F434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1D7AEC4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FF0908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4F1E243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117E167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98042D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139018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CF9E85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11C2C01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CC94B5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07064C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1BAE66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7899407">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24013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4F4EEB1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C3095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66B54A">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659651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CA1CB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DE9F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269295FB">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1BA4FEB5">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711AB8C3">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789F4C7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636926E4">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2198674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18A2128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0268540A">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7AD9F0A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1BE60A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5DE7914D">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08889084">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AD8725">
      <w:pPr>
        <w:spacing w:line="360" w:lineRule="auto"/>
        <w:ind w:firstLine="420" w:firstLineChars="200"/>
        <w:contextualSpacing/>
        <w:jc w:val="left"/>
        <w:rPr>
          <w:rFonts w:hAnsi="宋体" w:cs="宋体"/>
          <w:color w:val="000000" w:themeColor="text1"/>
          <w:kern w:val="0"/>
          <w14:textFill>
            <w14:solidFill>
              <w14:schemeClr w14:val="tx1"/>
            </w14:solidFill>
          </w14:textFill>
        </w:rPr>
      </w:pPr>
    </w:p>
    <w:p w14:paraId="1B5F762E">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5B5ECF61">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783B3D9">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6DFE6720">
      <w:pPr>
        <w:snapToGrid w:val="0"/>
        <w:spacing w:before="120" w:beforeLines="50" w:after="50"/>
        <w:rPr>
          <w:rFonts w:ascii="宋体"/>
          <w:bCs/>
          <w:color w:val="000000" w:themeColor="text1"/>
          <w:sz w:val="32"/>
          <w:szCs w:val="20"/>
          <w14:textFill>
            <w14:solidFill>
              <w14:schemeClr w14:val="tx1"/>
            </w14:solidFill>
          </w14:textFill>
        </w:rPr>
      </w:pPr>
    </w:p>
    <w:p w14:paraId="21151D87">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03479B59">
      <w:pPr>
        <w:snapToGrid w:val="0"/>
        <w:spacing w:before="120" w:beforeLines="50" w:after="50"/>
        <w:rPr>
          <w:rFonts w:ascii="宋体"/>
          <w:color w:val="000000" w:themeColor="text1"/>
          <w:sz w:val="24"/>
          <w:szCs w:val="20"/>
          <w14:textFill>
            <w14:solidFill>
              <w14:schemeClr w14:val="tx1"/>
            </w14:solidFill>
          </w14:textFill>
        </w:rPr>
      </w:pPr>
    </w:p>
    <w:p w14:paraId="43F69532">
      <w:pPr>
        <w:snapToGrid w:val="0"/>
        <w:spacing w:before="120" w:beforeLines="50" w:after="50"/>
        <w:rPr>
          <w:rFonts w:ascii="宋体"/>
          <w:color w:val="000000" w:themeColor="text1"/>
          <w:sz w:val="24"/>
          <w:szCs w:val="20"/>
          <w14:textFill>
            <w14:solidFill>
              <w14:schemeClr w14:val="tx1"/>
            </w14:solidFill>
          </w14:textFill>
        </w:rPr>
      </w:pPr>
    </w:p>
    <w:p w14:paraId="134C9E06">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7442E01C">
      <w:pPr>
        <w:snapToGrid w:val="0"/>
        <w:spacing w:before="120" w:beforeLines="50" w:after="50"/>
        <w:rPr>
          <w:rFonts w:ascii="宋体"/>
          <w:bCs/>
          <w:color w:val="000000" w:themeColor="text1"/>
          <w:sz w:val="24"/>
          <w:szCs w:val="20"/>
          <w14:textFill>
            <w14:solidFill>
              <w14:schemeClr w14:val="tx1"/>
            </w14:solidFill>
          </w14:textFill>
        </w:rPr>
      </w:pPr>
    </w:p>
    <w:p w14:paraId="3CACCF18">
      <w:pPr>
        <w:snapToGrid w:val="0"/>
        <w:spacing w:before="120" w:beforeLines="50" w:after="50"/>
        <w:rPr>
          <w:rFonts w:ascii="宋体"/>
          <w:bCs/>
          <w:color w:val="000000" w:themeColor="text1"/>
          <w:sz w:val="24"/>
          <w:szCs w:val="20"/>
          <w14:textFill>
            <w14:solidFill>
              <w14:schemeClr w14:val="tx1"/>
            </w14:solidFill>
          </w14:textFill>
        </w:rPr>
      </w:pPr>
    </w:p>
    <w:p w14:paraId="4A8147C5">
      <w:pPr>
        <w:snapToGrid w:val="0"/>
        <w:spacing w:before="120" w:beforeLines="50" w:after="50"/>
        <w:rPr>
          <w:rFonts w:ascii="宋体"/>
          <w:bCs/>
          <w:color w:val="000000" w:themeColor="text1"/>
          <w:sz w:val="24"/>
          <w:szCs w:val="20"/>
          <w14:textFill>
            <w14:solidFill>
              <w14:schemeClr w14:val="tx1"/>
            </w14:solidFill>
          </w14:textFill>
        </w:rPr>
      </w:pPr>
    </w:p>
    <w:p w14:paraId="27D2E217">
      <w:pPr>
        <w:snapToGrid w:val="0"/>
        <w:spacing w:before="120" w:beforeLines="50" w:after="50"/>
        <w:rPr>
          <w:rFonts w:ascii="宋体"/>
          <w:bCs/>
          <w:color w:val="000000" w:themeColor="text1"/>
          <w:sz w:val="24"/>
          <w:szCs w:val="20"/>
          <w14:textFill>
            <w14:solidFill>
              <w14:schemeClr w14:val="tx1"/>
            </w14:solidFill>
          </w14:textFill>
        </w:rPr>
      </w:pPr>
    </w:p>
    <w:p w14:paraId="649BA342">
      <w:pPr>
        <w:snapToGrid w:val="0"/>
        <w:spacing w:before="120" w:beforeLines="50" w:after="50"/>
        <w:rPr>
          <w:rFonts w:ascii="宋体"/>
          <w:bCs/>
          <w:color w:val="000000" w:themeColor="text1"/>
          <w:sz w:val="24"/>
          <w:szCs w:val="20"/>
          <w14:textFill>
            <w14:solidFill>
              <w14:schemeClr w14:val="tx1"/>
            </w14:solidFill>
          </w14:textFill>
        </w:rPr>
      </w:pPr>
    </w:p>
    <w:p w14:paraId="790AC69A">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2CD6D14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176925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31809C0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3B0FF8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39C90A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9E9C8E2">
      <w:pPr>
        <w:pStyle w:val="13"/>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590AD895">
      <w:pPr>
        <w:pStyle w:val="13"/>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7D703C9">
      <w:pPr>
        <w:pStyle w:val="13"/>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651BC145">
      <w:pPr>
        <w:pStyle w:val="13"/>
        <w:snapToGrid w:val="0"/>
        <w:spacing w:before="50" w:after="50"/>
        <w:ind w:firstLine="0"/>
        <w:rPr>
          <w:rFonts w:ascii="宋体" w:cs="仿宋_GB2312"/>
          <w:bCs/>
          <w:color w:val="000000" w:themeColor="text1"/>
          <w:sz w:val="32"/>
          <w:szCs w:val="32"/>
          <w14:textFill>
            <w14:solidFill>
              <w14:schemeClr w14:val="tx1"/>
            </w14:solidFill>
          </w14:textFill>
        </w:rPr>
      </w:pPr>
    </w:p>
    <w:p w14:paraId="739EEC13">
      <w:pPr>
        <w:pStyle w:val="13"/>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15F2283">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647CCE8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510DCE05">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F8EB28C">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DC7040B">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7B3DCDAD">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4ABFCF17">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1AC2437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39B146B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53DF401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0042604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035AC41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3E1CF02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3468679C">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6CDD41F8">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0DCFF67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418409F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4BC2E5C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3EBD11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7E2B72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01DF363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01AB4220">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0285D14E">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39F4B9DF">
      <w:pPr>
        <w:spacing w:line="360" w:lineRule="auto"/>
        <w:contextualSpacing/>
        <w:rPr>
          <w:rFonts w:ascii="宋体" w:cs="仿宋_GB2312"/>
          <w:color w:val="000000" w:themeColor="text1"/>
          <w:sz w:val="24"/>
          <w14:textFill>
            <w14:solidFill>
              <w14:schemeClr w14:val="tx1"/>
            </w14:solidFill>
          </w14:textFill>
        </w:rPr>
      </w:pPr>
    </w:p>
    <w:p w14:paraId="3455D2BB">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4450530">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217B51C6">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369544F4">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496AF77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658117C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00EF89F9">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3BB9450F">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530BDEF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7D00E01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3F179AE6">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39BCCE6D">
      <w:pPr>
        <w:spacing w:line="360" w:lineRule="auto"/>
        <w:ind w:left="540"/>
        <w:contextualSpacing/>
        <w:rPr>
          <w:rFonts w:ascii="宋体" w:cs="仿宋_GB2312"/>
          <w:color w:val="000000" w:themeColor="text1"/>
          <w:sz w:val="24"/>
          <w14:textFill>
            <w14:solidFill>
              <w14:schemeClr w14:val="tx1"/>
            </w14:solidFill>
          </w14:textFill>
        </w:rPr>
      </w:pPr>
    </w:p>
    <w:p w14:paraId="45361E1C">
      <w:pPr>
        <w:spacing w:line="360" w:lineRule="auto"/>
        <w:ind w:left="540"/>
        <w:contextualSpacing/>
        <w:rPr>
          <w:rFonts w:ascii="宋体" w:cs="仿宋_GB2312"/>
          <w:color w:val="000000" w:themeColor="text1"/>
          <w:sz w:val="24"/>
          <w14:textFill>
            <w14:solidFill>
              <w14:schemeClr w14:val="tx1"/>
            </w14:solidFill>
          </w14:textFill>
        </w:rPr>
      </w:pPr>
    </w:p>
    <w:p w14:paraId="3D34D63F">
      <w:pPr>
        <w:spacing w:line="360" w:lineRule="auto"/>
        <w:ind w:left="540"/>
        <w:contextualSpacing/>
        <w:rPr>
          <w:rFonts w:ascii="宋体" w:cs="仿宋_GB2312"/>
          <w:color w:val="000000" w:themeColor="text1"/>
          <w:sz w:val="24"/>
          <w14:textFill>
            <w14:solidFill>
              <w14:schemeClr w14:val="tx1"/>
            </w14:solidFill>
          </w14:textFill>
        </w:rPr>
      </w:pPr>
    </w:p>
    <w:p w14:paraId="757CA26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1FAB9F64">
      <w:pPr>
        <w:spacing w:line="360" w:lineRule="auto"/>
        <w:ind w:left="540"/>
        <w:contextualSpacing/>
        <w:rPr>
          <w:rFonts w:ascii="宋体" w:cs="仿宋_GB2312"/>
          <w:color w:val="000000" w:themeColor="text1"/>
          <w:sz w:val="24"/>
          <w14:textFill>
            <w14:solidFill>
              <w14:schemeClr w14:val="tx1"/>
            </w14:solidFill>
          </w14:textFill>
        </w:rPr>
      </w:pPr>
    </w:p>
    <w:p w14:paraId="3F7B98E9">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8D753DF">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3CEFCD3F">
      <w:pPr>
        <w:spacing w:line="360" w:lineRule="auto"/>
        <w:contextualSpacing/>
        <w:jc w:val="center"/>
        <w:rPr>
          <w:rFonts w:ascii="宋体" w:cs="仿宋_GB2312"/>
          <w:b/>
          <w:color w:val="000000" w:themeColor="text1"/>
          <w:sz w:val="24"/>
          <w14:textFill>
            <w14:solidFill>
              <w14:schemeClr w14:val="tx1"/>
            </w14:solidFill>
          </w14:textFill>
        </w:rPr>
      </w:pPr>
    </w:p>
    <w:p w14:paraId="7F8DA2E8">
      <w:pPr>
        <w:spacing w:line="360" w:lineRule="auto"/>
        <w:contextualSpacing/>
        <w:jc w:val="left"/>
        <w:rPr>
          <w:rFonts w:ascii="宋体" w:cs="仿宋_GB2312"/>
          <w:color w:val="000000" w:themeColor="text1"/>
          <w:sz w:val="24"/>
          <w14:textFill>
            <w14:solidFill>
              <w14:schemeClr w14:val="tx1"/>
            </w14:solidFill>
          </w14:textFill>
        </w:rPr>
      </w:pPr>
    </w:p>
    <w:p w14:paraId="330CD940">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62C88A7E">
      <w:pPr>
        <w:adjustRightInd w:val="0"/>
        <w:snapToGrid w:val="0"/>
        <w:spacing w:line="300" w:lineRule="auto"/>
        <w:jc w:val="left"/>
        <w:rPr>
          <w:rFonts w:ascii="宋体"/>
          <w:b/>
          <w:color w:val="000000" w:themeColor="text1"/>
          <w:szCs w:val="21"/>
          <w14:textFill>
            <w14:solidFill>
              <w14:schemeClr w14:val="tx1"/>
            </w14:solidFill>
          </w14:textFill>
        </w:rPr>
      </w:pPr>
    </w:p>
    <w:p w14:paraId="08608F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2F75D440">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6"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22D5566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3B6E07D3">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28894EA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4588FE14">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7BB7CBD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1AE5A839">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35377009">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4C4912D0">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433DB6D7">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8C98FDF">
      <w:pPr>
        <w:spacing w:line="360" w:lineRule="auto"/>
        <w:rPr>
          <w:rFonts w:ascii="宋体" w:cs="仿宋_GB2312"/>
          <w:color w:val="000000" w:themeColor="text1"/>
          <w:sz w:val="24"/>
          <w14:textFill>
            <w14:solidFill>
              <w14:schemeClr w14:val="tx1"/>
            </w14:solidFill>
          </w14:textFill>
        </w:rPr>
      </w:pPr>
    </w:p>
    <w:p w14:paraId="16ED83E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34F6A3">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569A495D">
      <w:pPr>
        <w:spacing w:line="360" w:lineRule="auto"/>
        <w:contextualSpacing/>
        <w:rPr>
          <w:rFonts w:ascii="宋体" w:cs="仿宋_GB2312"/>
          <w:color w:val="000000" w:themeColor="text1"/>
          <w:sz w:val="24"/>
          <w14:textFill>
            <w14:solidFill>
              <w14:schemeClr w14:val="tx1"/>
            </w14:solidFill>
          </w14:textFill>
        </w:rPr>
      </w:pPr>
    </w:p>
    <w:p w14:paraId="35D9DA52">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D524F2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464F6C72">
      <w:pPr>
        <w:spacing w:line="360" w:lineRule="auto"/>
        <w:rPr>
          <w:rFonts w:ascii="宋体" w:cs="仿宋_GB2312"/>
          <w:color w:val="000000" w:themeColor="text1"/>
          <w:sz w:val="24"/>
          <w14:textFill>
            <w14:solidFill>
              <w14:schemeClr w14:val="tx1"/>
            </w14:solidFill>
          </w14:textFill>
        </w:rPr>
      </w:pPr>
    </w:p>
    <w:p w14:paraId="0775513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4A7DBA04">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7186E6FE">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6AEC22C2">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BA5D609">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6DD7F28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3B4BBC56">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12ECC3">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69BA3D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5D97233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64D5D7F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67B7FED9">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1AB9734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33B29A1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FFFDC24">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80598DD">
      <w:pPr>
        <w:spacing w:line="360" w:lineRule="auto"/>
        <w:contextualSpacing/>
        <w:rPr>
          <w:rFonts w:ascii="宋体" w:cs="仿宋_GB2312"/>
          <w:color w:val="000000" w:themeColor="text1"/>
          <w:sz w:val="24"/>
          <w14:textFill>
            <w14:solidFill>
              <w14:schemeClr w14:val="tx1"/>
            </w14:solidFill>
          </w14:textFill>
        </w:rPr>
      </w:pPr>
    </w:p>
    <w:p w14:paraId="6B8EB6D6">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51F7E3AC">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18B23233">
      <w:pPr>
        <w:spacing w:line="360" w:lineRule="auto"/>
        <w:contextualSpacing/>
        <w:rPr>
          <w:rFonts w:ascii="宋体" w:cs="仿宋_GB2312"/>
          <w:color w:val="000000" w:themeColor="text1"/>
          <w:sz w:val="24"/>
          <w14:textFill>
            <w14:solidFill>
              <w14:schemeClr w14:val="tx1"/>
            </w14:solidFill>
          </w14:textFill>
        </w:rPr>
      </w:pPr>
    </w:p>
    <w:p w14:paraId="6B30B75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106"/>
    <w:p w14:paraId="194FA881">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3694E8DB">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4C74C5C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250FB50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62A2779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86B4B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7F504B4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33BFD71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708DAA8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178B273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3280D8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3CAE651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4BA6B7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3E022F5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4EA16A4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7F07CA0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0A216E2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7DD2073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5036C922">
      <w:pPr>
        <w:spacing w:line="360" w:lineRule="auto"/>
        <w:ind w:firstLine="420" w:firstLineChars="200"/>
        <w:rPr>
          <w:color w:val="000000" w:themeColor="text1"/>
          <w14:textFill>
            <w14:solidFill>
              <w14:schemeClr w14:val="tx1"/>
            </w14:solidFill>
          </w14:textFill>
        </w:rPr>
      </w:pPr>
    </w:p>
    <w:p w14:paraId="0311D8F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2222D568">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5DEE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F07598B">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140341A3">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7F58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970C0AF">
            <w:pPr>
              <w:spacing w:line="360" w:lineRule="auto"/>
              <w:jc w:val="center"/>
              <w:rPr>
                <w:color w:val="000000" w:themeColor="text1"/>
                <w14:textFill>
                  <w14:solidFill>
                    <w14:schemeClr w14:val="tx1"/>
                  </w14:solidFill>
                </w14:textFill>
              </w:rPr>
            </w:pPr>
          </w:p>
        </w:tc>
        <w:tc>
          <w:tcPr>
            <w:tcW w:w="961" w:type="dxa"/>
            <w:vAlign w:val="center"/>
          </w:tcPr>
          <w:p w14:paraId="2380B9E9">
            <w:pPr>
              <w:spacing w:line="360" w:lineRule="auto"/>
              <w:jc w:val="center"/>
              <w:rPr>
                <w:color w:val="000000" w:themeColor="text1"/>
                <w14:textFill>
                  <w14:solidFill>
                    <w14:schemeClr w14:val="tx1"/>
                  </w14:solidFill>
                </w14:textFill>
              </w:rPr>
            </w:pPr>
          </w:p>
        </w:tc>
        <w:tc>
          <w:tcPr>
            <w:tcW w:w="1257" w:type="dxa"/>
            <w:vAlign w:val="center"/>
          </w:tcPr>
          <w:p w14:paraId="7CD55C8C">
            <w:pPr>
              <w:spacing w:line="360" w:lineRule="auto"/>
              <w:jc w:val="center"/>
              <w:rPr>
                <w:color w:val="000000" w:themeColor="text1"/>
                <w14:textFill>
                  <w14:solidFill>
                    <w14:schemeClr w14:val="tx1"/>
                  </w14:solidFill>
                </w14:textFill>
              </w:rPr>
            </w:pPr>
          </w:p>
        </w:tc>
        <w:tc>
          <w:tcPr>
            <w:tcW w:w="1257" w:type="dxa"/>
            <w:vAlign w:val="center"/>
          </w:tcPr>
          <w:p w14:paraId="424F4EA2">
            <w:pPr>
              <w:spacing w:line="360" w:lineRule="auto"/>
              <w:jc w:val="center"/>
              <w:rPr>
                <w:color w:val="000000" w:themeColor="text1"/>
                <w14:textFill>
                  <w14:solidFill>
                    <w14:schemeClr w14:val="tx1"/>
                  </w14:solidFill>
                </w14:textFill>
              </w:rPr>
            </w:pPr>
          </w:p>
        </w:tc>
        <w:tc>
          <w:tcPr>
            <w:tcW w:w="1258" w:type="dxa"/>
            <w:vAlign w:val="center"/>
          </w:tcPr>
          <w:p w14:paraId="6FFC5272">
            <w:pPr>
              <w:spacing w:line="360" w:lineRule="auto"/>
              <w:jc w:val="center"/>
              <w:rPr>
                <w:color w:val="000000" w:themeColor="text1"/>
                <w14:textFill>
                  <w14:solidFill>
                    <w14:schemeClr w14:val="tx1"/>
                  </w14:solidFill>
                </w14:textFill>
              </w:rPr>
            </w:pPr>
          </w:p>
        </w:tc>
        <w:tc>
          <w:tcPr>
            <w:tcW w:w="1257" w:type="dxa"/>
            <w:vAlign w:val="center"/>
          </w:tcPr>
          <w:p w14:paraId="5323A670">
            <w:pPr>
              <w:spacing w:line="360" w:lineRule="auto"/>
              <w:jc w:val="center"/>
              <w:rPr>
                <w:color w:val="000000" w:themeColor="text1"/>
                <w14:textFill>
                  <w14:solidFill>
                    <w14:schemeClr w14:val="tx1"/>
                  </w14:solidFill>
                </w14:textFill>
              </w:rPr>
            </w:pPr>
          </w:p>
        </w:tc>
        <w:tc>
          <w:tcPr>
            <w:tcW w:w="1258" w:type="dxa"/>
            <w:vAlign w:val="center"/>
          </w:tcPr>
          <w:p w14:paraId="6E70364A">
            <w:pPr>
              <w:spacing w:line="360" w:lineRule="auto"/>
              <w:jc w:val="center"/>
              <w:rPr>
                <w:color w:val="000000" w:themeColor="text1"/>
                <w14:textFill>
                  <w14:solidFill>
                    <w14:schemeClr w14:val="tx1"/>
                  </w14:solidFill>
                </w14:textFill>
              </w:rPr>
            </w:pPr>
          </w:p>
        </w:tc>
      </w:tr>
      <w:tr w14:paraId="6895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9352FEE">
            <w:pPr>
              <w:spacing w:line="360" w:lineRule="auto"/>
              <w:jc w:val="center"/>
              <w:rPr>
                <w:color w:val="000000" w:themeColor="text1"/>
                <w14:textFill>
                  <w14:solidFill>
                    <w14:schemeClr w14:val="tx1"/>
                  </w14:solidFill>
                </w14:textFill>
              </w:rPr>
            </w:pPr>
          </w:p>
        </w:tc>
        <w:tc>
          <w:tcPr>
            <w:tcW w:w="961" w:type="dxa"/>
            <w:vAlign w:val="center"/>
          </w:tcPr>
          <w:p w14:paraId="48C0EB1B">
            <w:pPr>
              <w:spacing w:line="360" w:lineRule="auto"/>
              <w:jc w:val="center"/>
              <w:rPr>
                <w:color w:val="000000" w:themeColor="text1"/>
                <w14:textFill>
                  <w14:solidFill>
                    <w14:schemeClr w14:val="tx1"/>
                  </w14:solidFill>
                </w14:textFill>
              </w:rPr>
            </w:pPr>
          </w:p>
        </w:tc>
        <w:tc>
          <w:tcPr>
            <w:tcW w:w="1257" w:type="dxa"/>
            <w:vAlign w:val="center"/>
          </w:tcPr>
          <w:p w14:paraId="32E4BD0D">
            <w:pPr>
              <w:spacing w:line="360" w:lineRule="auto"/>
              <w:jc w:val="center"/>
              <w:rPr>
                <w:color w:val="000000" w:themeColor="text1"/>
                <w14:textFill>
                  <w14:solidFill>
                    <w14:schemeClr w14:val="tx1"/>
                  </w14:solidFill>
                </w14:textFill>
              </w:rPr>
            </w:pPr>
          </w:p>
        </w:tc>
        <w:tc>
          <w:tcPr>
            <w:tcW w:w="1257" w:type="dxa"/>
            <w:vAlign w:val="center"/>
          </w:tcPr>
          <w:p w14:paraId="00D2BF5C">
            <w:pPr>
              <w:spacing w:line="360" w:lineRule="auto"/>
              <w:jc w:val="center"/>
              <w:rPr>
                <w:color w:val="000000" w:themeColor="text1"/>
                <w14:textFill>
                  <w14:solidFill>
                    <w14:schemeClr w14:val="tx1"/>
                  </w14:solidFill>
                </w14:textFill>
              </w:rPr>
            </w:pPr>
          </w:p>
        </w:tc>
        <w:tc>
          <w:tcPr>
            <w:tcW w:w="1258" w:type="dxa"/>
            <w:vAlign w:val="center"/>
          </w:tcPr>
          <w:p w14:paraId="283BEBC1">
            <w:pPr>
              <w:spacing w:line="360" w:lineRule="auto"/>
              <w:jc w:val="center"/>
              <w:rPr>
                <w:color w:val="000000" w:themeColor="text1"/>
                <w14:textFill>
                  <w14:solidFill>
                    <w14:schemeClr w14:val="tx1"/>
                  </w14:solidFill>
                </w14:textFill>
              </w:rPr>
            </w:pPr>
          </w:p>
        </w:tc>
        <w:tc>
          <w:tcPr>
            <w:tcW w:w="1257" w:type="dxa"/>
            <w:vAlign w:val="center"/>
          </w:tcPr>
          <w:p w14:paraId="6F16868A">
            <w:pPr>
              <w:spacing w:line="360" w:lineRule="auto"/>
              <w:jc w:val="center"/>
              <w:rPr>
                <w:color w:val="000000" w:themeColor="text1"/>
                <w14:textFill>
                  <w14:solidFill>
                    <w14:schemeClr w14:val="tx1"/>
                  </w14:solidFill>
                </w14:textFill>
              </w:rPr>
            </w:pPr>
          </w:p>
        </w:tc>
        <w:tc>
          <w:tcPr>
            <w:tcW w:w="1258" w:type="dxa"/>
            <w:vAlign w:val="center"/>
          </w:tcPr>
          <w:p w14:paraId="5E59E564">
            <w:pPr>
              <w:spacing w:line="360" w:lineRule="auto"/>
              <w:jc w:val="center"/>
              <w:rPr>
                <w:color w:val="000000" w:themeColor="text1"/>
                <w14:textFill>
                  <w14:solidFill>
                    <w14:schemeClr w14:val="tx1"/>
                  </w14:solidFill>
                </w14:textFill>
              </w:rPr>
            </w:pPr>
          </w:p>
        </w:tc>
      </w:tr>
      <w:tr w14:paraId="2EC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9B54174">
            <w:pPr>
              <w:spacing w:line="360" w:lineRule="auto"/>
              <w:jc w:val="center"/>
              <w:rPr>
                <w:color w:val="000000" w:themeColor="text1"/>
                <w14:textFill>
                  <w14:solidFill>
                    <w14:schemeClr w14:val="tx1"/>
                  </w14:solidFill>
                </w14:textFill>
              </w:rPr>
            </w:pPr>
          </w:p>
        </w:tc>
        <w:tc>
          <w:tcPr>
            <w:tcW w:w="961" w:type="dxa"/>
            <w:vAlign w:val="center"/>
          </w:tcPr>
          <w:p w14:paraId="4323D452">
            <w:pPr>
              <w:spacing w:line="360" w:lineRule="auto"/>
              <w:jc w:val="center"/>
              <w:rPr>
                <w:color w:val="000000" w:themeColor="text1"/>
                <w14:textFill>
                  <w14:solidFill>
                    <w14:schemeClr w14:val="tx1"/>
                  </w14:solidFill>
                </w14:textFill>
              </w:rPr>
            </w:pPr>
          </w:p>
        </w:tc>
        <w:tc>
          <w:tcPr>
            <w:tcW w:w="1257" w:type="dxa"/>
            <w:vAlign w:val="center"/>
          </w:tcPr>
          <w:p w14:paraId="40CE636F">
            <w:pPr>
              <w:spacing w:line="360" w:lineRule="auto"/>
              <w:jc w:val="center"/>
              <w:rPr>
                <w:color w:val="000000" w:themeColor="text1"/>
                <w14:textFill>
                  <w14:solidFill>
                    <w14:schemeClr w14:val="tx1"/>
                  </w14:solidFill>
                </w14:textFill>
              </w:rPr>
            </w:pPr>
          </w:p>
        </w:tc>
        <w:tc>
          <w:tcPr>
            <w:tcW w:w="1257" w:type="dxa"/>
            <w:vAlign w:val="center"/>
          </w:tcPr>
          <w:p w14:paraId="58D6AC62">
            <w:pPr>
              <w:spacing w:line="360" w:lineRule="auto"/>
              <w:jc w:val="center"/>
              <w:rPr>
                <w:color w:val="000000" w:themeColor="text1"/>
                <w14:textFill>
                  <w14:solidFill>
                    <w14:schemeClr w14:val="tx1"/>
                  </w14:solidFill>
                </w14:textFill>
              </w:rPr>
            </w:pPr>
          </w:p>
        </w:tc>
        <w:tc>
          <w:tcPr>
            <w:tcW w:w="1258" w:type="dxa"/>
            <w:vAlign w:val="center"/>
          </w:tcPr>
          <w:p w14:paraId="139F94D6">
            <w:pPr>
              <w:spacing w:line="360" w:lineRule="auto"/>
              <w:jc w:val="center"/>
              <w:rPr>
                <w:color w:val="000000" w:themeColor="text1"/>
                <w14:textFill>
                  <w14:solidFill>
                    <w14:schemeClr w14:val="tx1"/>
                  </w14:solidFill>
                </w14:textFill>
              </w:rPr>
            </w:pPr>
          </w:p>
        </w:tc>
        <w:tc>
          <w:tcPr>
            <w:tcW w:w="1257" w:type="dxa"/>
            <w:vAlign w:val="center"/>
          </w:tcPr>
          <w:p w14:paraId="5DF10F34">
            <w:pPr>
              <w:spacing w:line="360" w:lineRule="auto"/>
              <w:jc w:val="center"/>
              <w:rPr>
                <w:color w:val="000000" w:themeColor="text1"/>
                <w14:textFill>
                  <w14:solidFill>
                    <w14:schemeClr w14:val="tx1"/>
                  </w14:solidFill>
                </w14:textFill>
              </w:rPr>
            </w:pPr>
          </w:p>
        </w:tc>
        <w:tc>
          <w:tcPr>
            <w:tcW w:w="1258" w:type="dxa"/>
            <w:vAlign w:val="center"/>
          </w:tcPr>
          <w:p w14:paraId="3C167F99">
            <w:pPr>
              <w:spacing w:line="360" w:lineRule="auto"/>
              <w:jc w:val="center"/>
              <w:rPr>
                <w:color w:val="000000" w:themeColor="text1"/>
                <w14:textFill>
                  <w14:solidFill>
                    <w14:schemeClr w14:val="tx1"/>
                  </w14:solidFill>
                </w14:textFill>
              </w:rPr>
            </w:pPr>
          </w:p>
        </w:tc>
      </w:tr>
      <w:tr w14:paraId="2C6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5903A98">
            <w:pPr>
              <w:spacing w:line="360" w:lineRule="auto"/>
              <w:jc w:val="center"/>
              <w:rPr>
                <w:color w:val="000000" w:themeColor="text1"/>
                <w14:textFill>
                  <w14:solidFill>
                    <w14:schemeClr w14:val="tx1"/>
                  </w14:solidFill>
                </w14:textFill>
              </w:rPr>
            </w:pPr>
          </w:p>
        </w:tc>
        <w:tc>
          <w:tcPr>
            <w:tcW w:w="961" w:type="dxa"/>
            <w:vAlign w:val="center"/>
          </w:tcPr>
          <w:p w14:paraId="25925FE1">
            <w:pPr>
              <w:spacing w:line="360" w:lineRule="auto"/>
              <w:jc w:val="center"/>
              <w:rPr>
                <w:color w:val="000000" w:themeColor="text1"/>
                <w14:textFill>
                  <w14:solidFill>
                    <w14:schemeClr w14:val="tx1"/>
                  </w14:solidFill>
                </w14:textFill>
              </w:rPr>
            </w:pPr>
          </w:p>
        </w:tc>
        <w:tc>
          <w:tcPr>
            <w:tcW w:w="1257" w:type="dxa"/>
            <w:vAlign w:val="center"/>
          </w:tcPr>
          <w:p w14:paraId="55DFB1B8">
            <w:pPr>
              <w:spacing w:line="360" w:lineRule="auto"/>
              <w:jc w:val="center"/>
              <w:rPr>
                <w:color w:val="000000" w:themeColor="text1"/>
                <w14:textFill>
                  <w14:solidFill>
                    <w14:schemeClr w14:val="tx1"/>
                  </w14:solidFill>
                </w14:textFill>
              </w:rPr>
            </w:pPr>
          </w:p>
        </w:tc>
        <w:tc>
          <w:tcPr>
            <w:tcW w:w="1257" w:type="dxa"/>
            <w:vAlign w:val="center"/>
          </w:tcPr>
          <w:p w14:paraId="0F58C7B2">
            <w:pPr>
              <w:spacing w:line="360" w:lineRule="auto"/>
              <w:jc w:val="center"/>
              <w:rPr>
                <w:color w:val="000000" w:themeColor="text1"/>
                <w14:textFill>
                  <w14:solidFill>
                    <w14:schemeClr w14:val="tx1"/>
                  </w14:solidFill>
                </w14:textFill>
              </w:rPr>
            </w:pPr>
          </w:p>
        </w:tc>
        <w:tc>
          <w:tcPr>
            <w:tcW w:w="1258" w:type="dxa"/>
            <w:vAlign w:val="center"/>
          </w:tcPr>
          <w:p w14:paraId="24DE739D">
            <w:pPr>
              <w:spacing w:line="360" w:lineRule="auto"/>
              <w:jc w:val="center"/>
              <w:rPr>
                <w:color w:val="000000" w:themeColor="text1"/>
                <w14:textFill>
                  <w14:solidFill>
                    <w14:schemeClr w14:val="tx1"/>
                  </w14:solidFill>
                </w14:textFill>
              </w:rPr>
            </w:pPr>
          </w:p>
        </w:tc>
        <w:tc>
          <w:tcPr>
            <w:tcW w:w="1257" w:type="dxa"/>
            <w:vAlign w:val="center"/>
          </w:tcPr>
          <w:p w14:paraId="215BCB39">
            <w:pPr>
              <w:spacing w:line="360" w:lineRule="auto"/>
              <w:jc w:val="center"/>
              <w:rPr>
                <w:color w:val="000000" w:themeColor="text1"/>
                <w14:textFill>
                  <w14:solidFill>
                    <w14:schemeClr w14:val="tx1"/>
                  </w14:solidFill>
                </w14:textFill>
              </w:rPr>
            </w:pPr>
          </w:p>
        </w:tc>
        <w:tc>
          <w:tcPr>
            <w:tcW w:w="1258" w:type="dxa"/>
            <w:vAlign w:val="center"/>
          </w:tcPr>
          <w:p w14:paraId="4BFA809B">
            <w:pPr>
              <w:spacing w:line="360" w:lineRule="auto"/>
              <w:jc w:val="center"/>
              <w:rPr>
                <w:color w:val="000000" w:themeColor="text1"/>
                <w14:textFill>
                  <w14:solidFill>
                    <w14:schemeClr w14:val="tx1"/>
                  </w14:solidFill>
                </w14:textFill>
              </w:rPr>
            </w:pPr>
          </w:p>
        </w:tc>
      </w:tr>
      <w:tr w14:paraId="53C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E5CD07A">
            <w:pPr>
              <w:spacing w:line="360" w:lineRule="auto"/>
              <w:jc w:val="center"/>
              <w:rPr>
                <w:color w:val="000000" w:themeColor="text1"/>
                <w14:textFill>
                  <w14:solidFill>
                    <w14:schemeClr w14:val="tx1"/>
                  </w14:solidFill>
                </w14:textFill>
              </w:rPr>
            </w:pPr>
          </w:p>
        </w:tc>
        <w:tc>
          <w:tcPr>
            <w:tcW w:w="961" w:type="dxa"/>
            <w:vAlign w:val="center"/>
          </w:tcPr>
          <w:p w14:paraId="045E47E2">
            <w:pPr>
              <w:spacing w:line="360" w:lineRule="auto"/>
              <w:jc w:val="center"/>
              <w:rPr>
                <w:color w:val="000000" w:themeColor="text1"/>
                <w14:textFill>
                  <w14:solidFill>
                    <w14:schemeClr w14:val="tx1"/>
                  </w14:solidFill>
                </w14:textFill>
              </w:rPr>
            </w:pPr>
          </w:p>
        </w:tc>
        <w:tc>
          <w:tcPr>
            <w:tcW w:w="1257" w:type="dxa"/>
            <w:vAlign w:val="center"/>
          </w:tcPr>
          <w:p w14:paraId="1AECADBA">
            <w:pPr>
              <w:spacing w:line="360" w:lineRule="auto"/>
              <w:jc w:val="center"/>
              <w:rPr>
                <w:color w:val="000000" w:themeColor="text1"/>
                <w14:textFill>
                  <w14:solidFill>
                    <w14:schemeClr w14:val="tx1"/>
                  </w14:solidFill>
                </w14:textFill>
              </w:rPr>
            </w:pPr>
          </w:p>
        </w:tc>
        <w:tc>
          <w:tcPr>
            <w:tcW w:w="1257" w:type="dxa"/>
            <w:vAlign w:val="center"/>
          </w:tcPr>
          <w:p w14:paraId="45C21C9C">
            <w:pPr>
              <w:spacing w:line="360" w:lineRule="auto"/>
              <w:jc w:val="center"/>
              <w:rPr>
                <w:color w:val="000000" w:themeColor="text1"/>
                <w14:textFill>
                  <w14:solidFill>
                    <w14:schemeClr w14:val="tx1"/>
                  </w14:solidFill>
                </w14:textFill>
              </w:rPr>
            </w:pPr>
          </w:p>
        </w:tc>
        <w:tc>
          <w:tcPr>
            <w:tcW w:w="1258" w:type="dxa"/>
            <w:vAlign w:val="center"/>
          </w:tcPr>
          <w:p w14:paraId="20C38721">
            <w:pPr>
              <w:spacing w:line="360" w:lineRule="auto"/>
              <w:jc w:val="center"/>
              <w:rPr>
                <w:color w:val="000000" w:themeColor="text1"/>
                <w14:textFill>
                  <w14:solidFill>
                    <w14:schemeClr w14:val="tx1"/>
                  </w14:solidFill>
                </w14:textFill>
              </w:rPr>
            </w:pPr>
          </w:p>
        </w:tc>
        <w:tc>
          <w:tcPr>
            <w:tcW w:w="1257" w:type="dxa"/>
            <w:vAlign w:val="center"/>
          </w:tcPr>
          <w:p w14:paraId="01857C1F">
            <w:pPr>
              <w:spacing w:line="360" w:lineRule="auto"/>
              <w:jc w:val="center"/>
              <w:rPr>
                <w:color w:val="000000" w:themeColor="text1"/>
                <w14:textFill>
                  <w14:solidFill>
                    <w14:schemeClr w14:val="tx1"/>
                  </w14:solidFill>
                </w14:textFill>
              </w:rPr>
            </w:pPr>
          </w:p>
        </w:tc>
        <w:tc>
          <w:tcPr>
            <w:tcW w:w="1258" w:type="dxa"/>
            <w:vAlign w:val="center"/>
          </w:tcPr>
          <w:p w14:paraId="138F3B72">
            <w:pPr>
              <w:spacing w:line="360" w:lineRule="auto"/>
              <w:jc w:val="center"/>
              <w:rPr>
                <w:color w:val="000000" w:themeColor="text1"/>
                <w14:textFill>
                  <w14:solidFill>
                    <w14:schemeClr w14:val="tx1"/>
                  </w14:solidFill>
                </w14:textFill>
              </w:rPr>
            </w:pPr>
          </w:p>
        </w:tc>
      </w:tr>
      <w:tr w14:paraId="3EF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17BB7BB1">
            <w:pPr>
              <w:spacing w:line="360" w:lineRule="auto"/>
              <w:jc w:val="center"/>
              <w:rPr>
                <w:color w:val="000000" w:themeColor="text1"/>
                <w14:textFill>
                  <w14:solidFill>
                    <w14:schemeClr w14:val="tx1"/>
                  </w14:solidFill>
                </w14:textFill>
              </w:rPr>
            </w:pPr>
          </w:p>
        </w:tc>
        <w:tc>
          <w:tcPr>
            <w:tcW w:w="961" w:type="dxa"/>
            <w:vAlign w:val="center"/>
          </w:tcPr>
          <w:p w14:paraId="51370869">
            <w:pPr>
              <w:spacing w:line="360" w:lineRule="auto"/>
              <w:jc w:val="center"/>
              <w:rPr>
                <w:color w:val="000000" w:themeColor="text1"/>
                <w14:textFill>
                  <w14:solidFill>
                    <w14:schemeClr w14:val="tx1"/>
                  </w14:solidFill>
                </w14:textFill>
              </w:rPr>
            </w:pPr>
          </w:p>
        </w:tc>
        <w:tc>
          <w:tcPr>
            <w:tcW w:w="1257" w:type="dxa"/>
            <w:vAlign w:val="center"/>
          </w:tcPr>
          <w:p w14:paraId="4840476F">
            <w:pPr>
              <w:spacing w:line="360" w:lineRule="auto"/>
              <w:jc w:val="center"/>
              <w:rPr>
                <w:color w:val="000000" w:themeColor="text1"/>
                <w14:textFill>
                  <w14:solidFill>
                    <w14:schemeClr w14:val="tx1"/>
                  </w14:solidFill>
                </w14:textFill>
              </w:rPr>
            </w:pPr>
          </w:p>
        </w:tc>
        <w:tc>
          <w:tcPr>
            <w:tcW w:w="1257" w:type="dxa"/>
            <w:vAlign w:val="center"/>
          </w:tcPr>
          <w:p w14:paraId="292D4D8B">
            <w:pPr>
              <w:spacing w:line="360" w:lineRule="auto"/>
              <w:jc w:val="center"/>
              <w:rPr>
                <w:color w:val="000000" w:themeColor="text1"/>
                <w14:textFill>
                  <w14:solidFill>
                    <w14:schemeClr w14:val="tx1"/>
                  </w14:solidFill>
                </w14:textFill>
              </w:rPr>
            </w:pPr>
          </w:p>
        </w:tc>
        <w:tc>
          <w:tcPr>
            <w:tcW w:w="1258" w:type="dxa"/>
            <w:vAlign w:val="center"/>
          </w:tcPr>
          <w:p w14:paraId="32EF0B1D">
            <w:pPr>
              <w:spacing w:line="360" w:lineRule="auto"/>
              <w:jc w:val="center"/>
              <w:rPr>
                <w:color w:val="000000" w:themeColor="text1"/>
                <w14:textFill>
                  <w14:solidFill>
                    <w14:schemeClr w14:val="tx1"/>
                  </w14:solidFill>
                </w14:textFill>
              </w:rPr>
            </w:pPr>
          </w:p>
        </w:tc>
        <w:tc>
          <w:tcPr>
            <w:tcW w:w="1257" w:type="dxa"/>
            <w:vAlign w:val="center"/>
          </w:tcPr>
          <w:p w14:paraId="0418B324">
            <w:pPr>
              <w:spacing w:line="360" w:lineRule="auto"/>
              <w:jc w:val="center"/>
              <w:rPr>
                <w:color w:val="000000" w:themeColor="text1"/>
                <w14:textFill>
                  <w14:solidFill>
                    <w14:schemeClr w14:val="tx1"/>
                  </w14:solidFill>
                </w14:textFill>
              </w:rPr>
            </w:pPr>
          </w:p>
        </w:tc>
        <w:tc>
          <w:tcPr>
            <w:tcW w:w="1258" w:type="dxa"/>
            <w:vAlign w:val="center"/>
          </w:tcPr>
          <w:p w14:paraId="101B7B57">
            <w:pPr>
              <w:spacing w:line="360" w:lineRule="auto"/>
              <w:jc w:val="center"/>
              <w:rPr>
                <w:color w:val="000000" w:themeColor="text1"/>
                <w14:textFill>
                  <w14:solidFill>
                    <w14:schemeClr w14:val="tx1"/>
                  </w14:solidFill>
                </w14:textFill>
              </w:rPr>
            </w:pPr>
          </w:p>
        </w:tc>
      </w:tr>
    </w:tbl>
    <w:p w14:paraId="771F41F0">
      <w:pPr>
        <w:rPr>
          <w:color w:val="000000" w:themeColor="text1"/>
          <w14:textFill>
            <w14:solidFill>
              <w14:schemeClr w14:val="tx1"/>
            </w14:solidFill>
          </w14:textFill>
        </w:rPr>
      </w:pPr>
    </w:p>
    <w:p w14:paraId="008F528D">
      <w:pPr>
        <w:rPr>
          <w:b/>
          <w:bCs/>
          <w:color w:val="000000" w:themeColor="text1"/>
          <w14:textFill>
            <w14:solidFill>
              <w14:schemeClr w14:val="tx1"/>
            </w14:solidFill>
          </w14:textFill>
        </w:rPr>
      </w:pPr>
    </w:p>
    <w:p w14:paraId="3B39B58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1241684">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026DE46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169EBAEC">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66162A5B">
      <w:pPr>
        <w:spacing w:line="360" w:lineRule="auto"/>
        <w:ind w:left="-6" w:firstLine="420"/>
        <w:rPr>
          <w:color w:val="000000" w:themeColor="text1"/>
          <w14:textFill>
            <w14:solidFill>
              <w14:schemeClr w14:val="tx1"/>
            </w14:solidFill>
          </w14:textFill>
        </w:rPr>
      </w:pPr>
    </w:p>
    <w:p w14:paraId="5D6E8374">
      <w:pPr>
        <w:rPr>
          <w:color w:val="000000" w:themeColor="text1"/>
          <w14:textFill>
            <w14:solidFill>
              <w14:schemeClr w14:val="tx1"/>
            </w14:solidFill>
          </w14:textFill>
        </w:rPr>
      </w:pPr>
    </w:p>
    <w:p w14:paraId="33A3337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62A77BAC">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544B7220">
      <w:pPr>
        <w:rPr>
          <w:color w:val="000000" w:themeColor="text1"/>
          <w14:textFill>
            <w14:solidFill>
              <w14:schemeClr w14:val="tx1"/>
            </w14:solidFill>
          </w14:textFill>
        </w:rPr>
      </w:pPr>
    </w:p>
    <w:p w14:paraId="39CC7F1C">
      <w:pPr>
        <w:rPr>
          <w:color w:val="000000" w:themeColor="text1"/>
          <w14:textFill>
            <w14:solidFill>
              <w14:schemeClr w14:val="tx1"/>
            </w14:solidFill>
          </w14:textFill>
        </w:rPr>
      </w:pPr>
    </w:p>
    <w:p w14:paraId="1BC8B62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1A9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57A44CD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1829BF8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56036C3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7CD9CD5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1999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89373E">
            <w:pPr>
              <w:rPr>
                <w:color w:val="000000" w:themeColor="text1"/>
                <w14:textFill>
                  <w14:solidFill>
                    <w14:schemeClr w14:val="tx1"/>
                  </w14:solidFill>
                </w14:textFill>
              </w:rPr>
            </w:pPr>
          </w:p>
        </w:tc>
        <w:tc>
          <w:tcPr>
            <w:tcW w:w="2357" w:type="dxa"/>
          </w:tcPr>
          <w:p w14:paraId="68F10DB1">
            <w:pPr>
              <w:rPr>
                <w:color w:val="000000" w:themeColor="text1"/>
                <w14:textFill>
                  <w14:solidFill>
                    <w14:schemeClr w14:val="tx1"/>
                  </w14:solidFill>
                </w14:textFill>
              </w:rPr>
            </w:pPr>
          </w:p>
        </w:tc>
        <w:tc>
          <w:tcPr>
            <w:tcW w:w="2356" w:type="dxa"/>
          </w:tcPr>
          <w:p w14:paraId="67DAB51D">
            <w:pPr>
              <w:rPr>
                <w:color w:val="000000" w:themeColor="text1"/>
                <w14:textFill>
                  <w14:solidFill>
                    <w14:schemeClr w14:val="tx1"/>
                  </w14:solidFill>
                </w14:textFill>
              </w:rPr>
            </w:pPr>
          </w:p>
        </w:tc>
        <w:tc>
          <w:tcPr>
            <w:tcW w:w="2136" w:type="dxa"/>
          </w:tcPr>
          <w:p w14:paraId="5EFDEA74">
            <w:pPr>
              <w:rPr>
                <w:color w:val="000000" w:themeColor="text1"/>
                <w14:textFill>
                  <w14:solidFill>
                    <w14:schemeClr w14:val="tx1"/>
                  </w14:solidFill>
                </w14:textFill>
              </w:rPr>
            </w:pPr>
          </w:p>
        </w:tc>
      </w:tr>
      <w:tr w14:paraId="5B5A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D2F1BC7">
            <w:pPr>
              <w:rPr>
                <w:color w:val="000000" w:themeColor="text1"/>
                <w14:textFill>
                  <w14:solidFill>
                    <w14:schemeClr w14:val="tx1"/>
                  </w14:solidFill>
                </w14:textFill>
              </w:rPr>
            </w:pPr>
          </w:p>
        </w:tc>
        <w:tc>
          <w:tcPr>
            <w:tcW w:w="2357" w:type="dxa"/>
          </w:tcPr>
          <w:p w14:paraId="4E54DF9A">
            <w:pPr>
              <w:rPr>
                <w:color w:val="000000" w:themeColor="text1"/>
                <w14:textFill>
                  <w14:solidFill>
                    <w14:schemeClr w14:val="tx1"/>
                  </w14:solidFill>
                </w14:textFill>
              </w:rPr>
            </w:pPr>
          </w:p>
        </w:tc>
        <w:tc>
          <w:tcPr>
            <w:tcW w:w="2356" w:type="dxa"/>
          </w:tcPr>
          <w:p w14:paraId="00368BCA">
            <w:pPr>
              <w:rPr>
                <w:color w:val="000000" w:themeColor="text1"/>
                <w14:textFill>
                  <w14:solidFill>
                    <w14:schemeClr w14:val="tx1"/>
                  </w14:solidFill>
                </w14:textFill>
              </w:rPr>
            </w:pPr>
          </w:p>
        </w:tc>
        <w:tc>
          <w:tcPr>
            <w:tcW w:w="2136" w:type="dxa"/>
          </w:tcPr>
          <w:p w14:paraId="24AC157E">
            <w:pPr>
              <w:rPr>
                <w:color w:val="000000" w:themeColor="text1"/>
                <w14:textFill>
                  <w14:solidFill>
                    <w14:schemeClr w14:val="tx1"/>
                  </w14:solidFill>
                </w14:textFill>
              </w:rPr>
            </w:pPr>
          </w:p>
        </w:tc>
      </w:tr>
      <w:tr w14:paraId="4EC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1A5C7C8">
            <w:pPr>
              <w:rPr>
                <w:color w:val="000000" w:themeColor="text1"/>
                <w14:textFill>
                  <w14:solidFill>
                    <w14:schemeClr w14:val="tx1"/>
                  </w14:solidFill>
                </w14:textFill>
              </w:rPr>
            </w:pPr>
          </w:p>
        </w:tc>
        <w:tc>
          <w:tcPr>
            <w:tcW w:w="2357" w:type="dxa"/>
          </w:tcPr>
          <w:p w14:paraId="4928F974">
            <w:pPr>
              <w:rPr>
                <w:color w:val="000000" w:themeColor="text1"/>
                <w14:textFill>
                  <w14:solidFill>
                    <w14:schemeClr w14:val="tx1"/>
                  </w14:solidFill>
                </w14:textFill>
              </w:rPr>
            </w:pPr>
          </w:p>
        </w:tc>
        <w:tc>
          <w:tcPr>
            <w:tcW w:w="2356" w:type="dxa"/>
          </w:tcPr>
          <w:p w14:paraId="7593602F">
            <w:pPr>
              <w:rPr>
                <w:color w:val="000000" w:themeColor="text1"/>
                <w14:textFill>
                  <w14:solidFill>
                    <w14:schemeClr w14:val="tx1"/>
                  </w14:solidFill>
                </w14:textFill>
              </w:rPr>
            </w:pPr>
          </w:p>
        </w:tc>
        <w:tc>
          <w:tcPr>
            <w:tcW w:w="2136" w:type="dxa"/>
          </w:tcPr>
          <w:p w14:paraId="3B25F0CE">
            <w:pPr>
              <w:rPr>
                <w:color w:val="000000" w:themeColor="text1"/>
                <w14:textFill>
                  <w14:solidFill>
                    <w14:schemeClr w14:val="tx1"/>
                  </w14:solidFill>
                </w14:textFill>
              </w:rPr>
            </w:pPr>
          </w:p>
        </w:tc>
      </w:tr>
      <w:tr w14:paraId="0A46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0E4C809A">
            <w:pPr>
              <w:rPr>
                <w:color w:val="000000" w:themeColor="text1"/>
                <w14:textFill>
                  <w14:solidFill>
                    <w14:schemeClr w14:val="tx1"/>
                  </w14:solidFill>
                </w14:textFill>
              </w:rPr>
            </w:pPr>
          </w:p>
        </w:tc>
        <w:tc>
          <w:tcPr>
            <w:tcW w:w="2357" w:type="dxa"/>
          </w:tcPr>
          <w:p w14:paraId="6833753C">
            <w:pPr>
              <w:rPr>
                <w:color w:val="000000" w:themeColor="text1"/>
                <w14:textFill>
                  <w14:solidFill>
                    <w14:schemeClr w14:val="tx1"/>
                  </w14:solidFill>
                </w14:textFill>
              </w:rPr>
            </w:pPr>
          </w:p>
        </w:tc>
        <w:tc>
          <w:tcPr>
            <w:tcW w:w="2356" w:type="dxa"/>
          </w:tcPr>
          <w:p w14:paraId="0F1759CE">
            <w:pPr>
              <w:rPr>
                <w:color w:val="000000" w:themeColor="text1"/>
                <w14:textFill>
                  <w14:solidFill>
                    <w14:schemeClr w14:val="tx1"/>
                  </w14:solidFill>
                </w14:textFill>
              </w:rPr>
            </w:pPr>
          </w:p>
        </w:tc>
        <w:tc>
          <w:tcPr>
            <w:tcW w:w="2136" w:type="dxa"/>
          </w:tcPr>
          <w:p w14:paraId="69B49E70">
            <w:pPr>
              <w:rPr>
                <w:color w:val="000000" w:themeColor="text1"/>
                <w14:textFill>
                  <w14:solidFill>
                    <w14:schemeClr w14:val="tx1"/>
                  </w14:solidFill>
                </w14:textFill>
              </w:rPr>
            </w:pPr>
          </w:p>
        </w:tc>
      </w:tr>
    </w:tbl>
    <w:p w14:paraId="4B5FA8EE">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5BAACA8D">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278CB6AB">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1E99B138">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0B78FC87">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448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7764CE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5F7E6E2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98F505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4B92BA3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749A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4980F0">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2A95E3F">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6AAD4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6A9B72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390A83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38320F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36DAA13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7B5F7281">
            <w:pPr>
              <w:jc w:val="center"/>
              <w:rPr>
                <w:color w:val="000000" w:themeColor="text1"/>
                <w14:textFill>
                  <w14:solidFill>
                    <w14:schemeClr w14:val="tx1"/>
                  </w14:solidFill>
                </w14:textFill>
              </w:rPr>
            </w:pPr>
          </w:p>
        </w:tc>
      </w:tr>
      <w:tr w14:paraId="64E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C066BCA">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0D437493">
            <w:pPr>
              <w:jc w:val="center"/>
              <w:rPr>
                <w:color w:val="000000" w:themeColor="text1"/>
                <w14:textFill>
                  <w14:solidFill>
                    <w14:schemeClr w14:val="tx1"/>
                  </w14:solidFill>
                </w14:textFill>
              </w:rPr>
            </w:pPr>
          </w:p>
        </w:tc>
        <w:tc>
          <w:tcPr>
            <w:tcW w:w="751" w:type="dxa"/>
            <w:tcMar>
              <w:left w:w="108" w:type="dxa"/>
              <w:right w:w="108" w:type="dxa"/>
            </w:tcMar>
            <w:vAlign w:val="center"/>
          </w:tcPr>
          <w:p w14:paraId="21034D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19B49D1">
            <w:pPr>
              <w:jc w:val="center"/>
              <w:rPr>
                <w:color w:val="000000" w:themeColor="text1"/>
                <w14:textFill>
                  <w14:solidFill>
                    <w14:schemeClr w14:val="tx1"/>
                  </w14:solidFill>
                </w14:textFill>
              </w:rPr>
            </w:pPr>
          </w:p>
        </w:tc>
        <w:tc>
          <w:tcPr>
            <w:tcW w:w="1123" w:type="dxa"/>
            <w:tcMar>
              <w:left w:w="108" w:type="dxa"/>
              <w:right w:w="108" w:type="dxa"/>
            </w:tcMar>
            <w:vAlign w:val="center"/>
          </w:tcPr>
          <w:p w14:paraId="0ACCD7CE">
            <w:pPr>
              <w:jc w:val="center"/>
              <w:rPr>
                <w:color w:val="000000" w:themeColor="text1"/>
                <w14:textFill>
                  <w14:solidFill>
                    <w14:schemeClr w14:val="tx1"/>
                  </w14:solidFill>
                </w14:textFill>
              </w:rPr>
            </w:pPr>
          </w:p>
        </w:tc>
        <w:tc>
          <w:tcPr>
            <w:tcW w:w="1090" w:type="dxa"/>
            <w:tcMar>
              <w:left w:w="108" w:type="dxa"/>
              <w:right w:w="108" w:type="dxa"/>
            </w:tcMar>
            <w:vAlign w:val="center"/>
          </w:tcPr>
          <w:p w14:paraId="74C294E1">
            <w:pPr>
              <w:jc w:val="center"/>
              <w:rPr>
                <w:color w:val="000000" w:themeColor="text1"/>
                <w14:textFill>
                  <w14:solidFill>
                    <w14:schemeClr w14:val="tx1"/>
                  </w14:solidFill>
                </w14:textFill>
              </w:rPr>
            </w:pPr>
          </w:p>
        </w:tc>
        <w:tc>
          <w:tcPr>
            <w:tcW w:w="1197" w:type="dxa"/>
            <w:tcMar>
              <w:left w:w="108" w:type="dxa"/>
              <w:right w:w="108" w:type="dxa"/>
            </w:tcMar>
            <w:vAlign w:val="center"/>
          </w:tcPr>
          <w:p w14:paraId="7F177D75">
            <w:pPr>
              <w:jc w:val="center"/>
              <w:rPr>
                <w:color w:val="000000" w:themeColor="text1"/>
                <w14:textFill>
                  <w14:solidFill>
                    <w14:schemeClr w14:val="tx1"/>
                  </w14:solidFill>
                </w14:textFill>
              </w:rPr>
            </w:pPr>
          </w:p>
        </w:tc>
        <w:tc>
          <w:tcPr>
            <w:tcW w:w="1268" w:type="dxa"/>
            <w:vAlign w:val="center"/>
          </w:tcPr>
          <w:p w14:paraId="253621C0">
            <w:pPr>
              <w:jc w:val="center"/>
              <w:rPr>
                <w:color w:val="000000" w:themeColor="text1"/>
                <w14:textFill>
                  <w14:solidFill>
                    <w14:schemeClr w14:val="tx1"/>
                  </w14:solidFill>
                </w14:textFill>
              </w:rPr>
            </w:pPr>
          </w:p>
        </w:tc>
        <w:tc>
          <w:tcPr>
            <w:tcW w:w="673" w:type="dxa"/>
            <w:tcMar>
              <w:left w:w="108" w:type="dxa"/>
              <w:right w:w="108" w:type="dxa"/>
            </w:tcMar>
            <w:vAlign w:val="center"/>
          </w:tcPr>
          <w:p w14:paraId="5186AC74">
            <w:pPr>
              <w:jc w:val="center"/>
              <w:rPr>
                <w:color w:val="000000" w:themeColor="text1"/>
                <w14:textFill>
                  <w14:solidFill>
                    <w14:schemeClr w14:val="tx1"/>
                  </w14:solidFill>
                </w14:textFill>
              </w:rPr>
            </w:pPr>
          </w:p>
        </w:tc>
      </w:tr>
      <w:tr w14:paraId="3F3E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3BEAFA9">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491E3F9B">
            <w:pPr>
              <w:jc w:val="center"/>
              <w:rPr>
                <w:color w:val="000000" w:themeColor="text1"/>
                <w14:textFill>
                  <w14:solidFill>
                    <w14:schemeClr w14:val="tx1"/>
                  </w14:solidFill>
                </w14:textFill>
              </w:rPr>
            </w:pPr>
          </w:p>
        </w:tc>
        <w:tc>
          <w:tcPr>
            <w:tcW w:w="751" w:type="dxa"/>
            <w:tcMar>
              <w:left w:w="108" w:type="dxa"/>
              <w:right w:w="108" w:type="dxa"/>
            </w:tcMar>
            <w:vAlign w:val="center"/>
          </w:tcPr>
          <w:p w14:paraId="3ACE55A8">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9A7176E">
            <w:pPr>
              <w:jc w:val="center"/>
              <w:rPr>
                <w:color w:val="000000" w:themeColor="text1"/>
                <w14:textFill>
                  <w14:solidFill>
                    <w14:schemeClr w14:val="tx1"/>
                  </w14:solidFill>
                </w14:textFill>
              </w:rPr>
            </w:pPr>
          </w:p>
        </w:tc>
        <w:tc>
          <w:tcPr>
            <w:tcW w:w="1123" w:type="dxa"/>
            <w:tcMar>
              <w:left w:w="108" w:type="dxa"/>
              <w:right w:w="108" w:type="dxa"/>
            </w:tcMar>
            <w:vAlign w:val="center"/>
          </w:tcPr>
          <w:p w14:paraId="5CAC06F9">
            <w:pPr>
              <w:jc w:val="center"/>
              <w:rPr>
                <w:color w:val="000000" w:themeColor="text1"/>
                <w14:textFill>
                  <w14:solidFill>
                    <w14:schemeClr w14:val="tx1"/>
                  </w14:solidFill>
                </w14:textFill>
              </w:rPr>
            </w:pPr>
          </w:p>
        </w:tc>
        <w:tc>
          <w:tcPr>
            <w:tcW w:w="1090" w:type="dxa"/>
            <w:tcMar>
              <w:left w:w="108" w:type="dxa"/>
              <w:right w:w="108" w:type="dxa"/>
            </w:tcMar>
            <w:vAlign w:val="center"/>
          </w:tcPr>
          <w:p w14:paraId="7D338BD9">
            <w:pPr>
              <w:jc w:val="center"/>
              <w:rPr>
                <w:color w:val="000000" w:themeColor="text1"/>
                <w14:textFill>
                  <w14:solidFill>
                    <w14:schemeClr w14:val="tx1"/>
                  </w14:solidFill>
                </w14:textFill>
              </w:rPr>
            </w:pPr>
          </w:p>
        </w:tc>
        <w:tc>
          <w:tcPr>
            <w:tcW w:w="1197" w:type="dxa"/>
            <w:tcMar>
              <w:left w:w="108" w:type="dxa"/>
              <w:right w:w="108" w:type="dxa"/>
            </w:tcMar>
            <w:vAlign w:val="center"/>
          </w:tcPr>
          <w:p w14:paraId="051C4E5C">
            <w:pPr>
              <w:jc w:val="center"/>
              <w:rPr>
                <w:color w:val="000000" w:themeColor="text1"/>
                <w14:textFill>
                  <w14:solidFill>
                    <w14:schemeClr w14:val="tx1"/>
                  </w14:solidFill>
                </w14:textFill>
              </w:rPr>
            </w:pPr>
          </w:p>
        </w:tc>
        <w:tc>
          <w:tcPr>
            <w:tcW w:w="1268" w:type="dxa"/>
          </w:tcPr>
          <w:p w14:paraId="2D9D6216">
            <w:pPr>
              <w:jc w:val="center"/>
              <w:rPr>
                <w:color w:val="000000" w:themeColor="text1"/>
                <w14:textFill>
                  <w14:solidFill>
                    <w14:schemeClr w14:val="tx1"/>
                  </w14:solidFill>
                </w14:textFill>
              </w:rPr>
            </w:pPr>
          </w:p>
        </w:tc>
        <w:tc>
          <w:tcPr>
            <w:tcW w:w="673" w:type="dxa"/>
            <w:tcMar>
              <w:left w:w="108" w:type="dxa"/>
              <w:right w:w="108" w:type="dxa"/>
            </w:tcMar>
            <w:vAlign w:val="center"/>
          </w:tcPr>
          <w:p w14:paraId="30381387">
            <w:pPr>
              <w:jc w:val="center"/>
              <w:rPr>
                <w:color w:val="000000" w:themeColor="text1"/>
                <w14:textFill>
                  <w14:solidFill>
                    <w14:schemeClr w14:val="tx1"/>
                  </w14:solidFill>
                </w14:textFill>
              </w:rPr>
            </w:pPr>
          </w:p>
        </w:tc>
      </w:tr>
      <w:tr w14:paraId="2E0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0E5DA0FB">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87F76EC">
            <w:pPr>
              <w:jc w:val="center"/>
              <w:rPr>
                <w:color w:val="000000" w:themeColor="text1"/>
                <w14:textFill>
                  <w14:solidFill>
                    <w14:schemeClr w14:val="tx1"/>
                  </w14:solidFill>
                </w14:textFill>
              </w:rPr>
            </w:pPr>
          </w:p>
        </w:tc>
        <w:tc>
          <w:tcPr>
            <w:tcW w:w="751" w:type="dxa"/>
            <w:tcMar>
              <w:left w:w="108" w:type="dxa"/>
              <w:right w:w="108" w:type="dxa"/>
            </w:tcMar>
            <w:vAlign w:val="center"/>
          </w:tcPr>
          <w:p w14:paraId="66FF9260">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A096A0B">
            <w:pPr>
              <w:jc w:val="center"/>
              <w:rPr>
                <w:color w:val="000000" w:themeColor="text1"/>
                <w14:textFill>
                  <w14:solidFill>
                    <w14:schemeClr w14:val="tx1"/>
                  </w14:solidFill>
                </w14:textFill>
              </w:rPr>
            </w:pPr>
          </w:p>
        </w:tc>
        <w:tc>
          <w:tcPr>
            <w:tcW w:w="1123" w:type="dxa"/>
            <w:tcMar>
              <w:left w:w="108" w:type="dxa"/>
              <w:right w:w="108" w:type="dxa"/>
            </w:tcMar>
            <w:vAlign w:val="center"/>
          </w:tcPr>
          <w:p w14:paraId="5F58DC11">
            <w:pPr>
              <w:jc w:val="center"/>
              <w:rPr>
                <w:color w:val="000000" w:themeColor="text1"/>
                <w14:textFill>
                  <w14:solidFill>
                    <w14:schemeClr w14:val="tx1"/>
                  </w14:solidFill>
                </w14:textFill>
              </w:rPr>
            </w:pPr>
          </w:p>
        </w:tc>
        <w:tc>
          <w:tcPr>
            <w:tcW w:w="1090" w:type="dxa"/>
            <w:tcMar>
              <w:left w:w="108" w:type="dxa"/>
              <w:right w:w="108" w:type="dxa"/>
            </w:tcMar>
            <w:vAlign w:val="center"/>
          </w:tcPr>
          <w:p w14:paraId="43B09735">
            <w:pPr>
              <w:jc w:val="center"/>
              <w:rPr>
                <w:color w:val="000000" w:themeColor="text1"/>
                <w14:textFill>
                  <w14:solidFill>
                    <w14:schemeClr w14:val="tx1"/>
                  </w14:solidFill>
                </w14:textFill>
              </w:rPr>
            </w:pPr>
          </w:p>
        </w:tc>
        <w:tc>
          <w:tcPr>
            <w:tcW w:w="1197" w:type="dxa"/>
            <w:tcMar>
              <w:left w:w="108" w:type="dxa"/>
              <w:right w:w="108" w:type="dxa"/>
            </w:tcMar>
            <w:vAlign w:val="center"/>
          </w:tcPr>
          <w:p w14:paraId="0B89CF1F">
            <w:pPr>
              <w:jc w:val="center"/>
              <w:rPr>
                <w:color w:val="000000" w:themeColor="text1"/>
                <w14:textFill>
                  <w14:solidFill>
                    <w14:schemeClr w14:val="tx1"/>
                  </w14:solidFill>
                </w14:textFill>
              </w:rPr>
            </w:pPr>
          </w:p>
        </w:tc>
        <w:tc>
          <w:tcPr>
            <w:tcW w:w="1268" w:type="dxa"/>
          </w:tcPr>
          <w:p w14:paraId="46DC45EA">
            <w:pPr>
              <w:jc w:val="center"/>
              <w:rPr>
                <w:color w:val="000000" w:themeColor="text1"/>
                <w14:textFill>
                  <w14:solidFill>
                    <w14:schemeClr w14:val="tx1"/>
                  </w14:solidFill>
                </w14:textFill>
              </w:rPr>
            </w:pPr>
          </w:p>
        </w:tc>
        <w:tc>
          <w:tcPr>
            <w:tcW w:w="673" w:type="dxa"/>
            <w:tcMar>
              <w:left w:w="108" w:type="dxa"/>
              <w:right w:w="108" w:type="dxa"/>
            </w:tcMar>
            <w:vAlign w:val="center"/>
          </w:tcPr>
          <w:p w14:paraId="10EAC578">
            <w:pPr>
              <w:jc w:val="center"/>
              <w:rPr>
                <w:color w:val="000000" w:themeColor="text1"/>
                <w14:textFill>
                  <w14:solidFill>
                    <w14:schemeClr w14:val="tx1"/>
                  </w14:solidFill>
                </w14:textFill>
              </w:rPr>
            </w:pPr>
          </w:p>
        </w:tc>
      </w:tr>
      <w:tr w14:paraId="2CB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34B8D079">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3DFEEEB2">
            <w:pPr>
              <w:jc w:val="center"/>
              <w:rPr>
                <w:color w:val="000000" w:themeColor="text1"/>
                <w14:textFill>
                  <w14:solidFill>
                    <w14:schemeClr w14:val="tx1"/>
                  </w14:solidFill>
                </w14:textFill>
              </w:rPr>
            </w:pPr>
          </w:p>
        </w:tc>
        <w:tc>
          <w:tcPr>
            <w:tcW w:w="751" w:type="dxa"/>
            <w:tcMar>
              <w:left w:w="108" w:type="dxa"/>
              <w:right w:w="108" w:type="dxa"/>
            </w:tcMar>
            <w:vAlign w:val="center"/>
          </w:tcPr>
          <w:p w14:paraId="1FA69F8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3E5CAFB5">
            <w:pPr>
              <w:jc w:val="center"/>
              <w:rPr>
                <w:color w:val="000000" w:themeColor="text1"/>
                <w14:textFill>
                  <w14:solidFill>
                    <w14:schemeClr w14:val="tx1"/>
                  </w14:solidFill>
                </w14:textFill>
              </w:rPr>
            </w:pPr>
          </w:p>
        </w:tc>
        <w:tc>
          <w:tcPr>
            <w:tcW w:w="1123" w:type="dxa"/>
            <w:tcMar>
              <w:left w:w="108" w:type="dxa"/>
              <w:right w:w="108" w:type="dxa"/>
            </w:tcMar>
            <w:vAlign w:val="center"/>
          </w:tcPr>
          <w:p w14:paraId="2D810E3A">
            <w:pPr>
              <w:jc w:val="center"/>
              <w:rPr>
                <w:color w:val="000000" w:themeColor="text1"/>
                <w14:textFill>
                  <w14:solidFill>
                    <w14:schemeClr w14:val="tx1"/>
                  </w14:solidFill>
                </w14:textFill>
              </w:rPr>
            </w:pPr>
          </w:p>
        </w:tc>
        <w:tc>
          <w:tcPr>
            <w:tcW w:w="1090" w:type="dxa"/>
            <w:tcMar>
              <w:left w:w="108" w:type="dxa"/>
              <w:right w:w="108" w:type="dxa"/>
            </w:tcMar>
            <w:vAlign w:val="center"/>
          </w:tcPr>
          <w:p w14:paraId="7C1E1934">
            <w:pPr>
              <w:jc w:val="center"/>
              <w:rPr>
                <w:color w:val="000000" w:themeColor="text1"/>
                <w14:textFill>
                  <w14:solidFill>
                    <w14:schemeClr w14:val="tx1"/>
                  </w14:solidFill>
                </w14:textFill>
              </w:rPr>
            </w:pPr>
          </w:p>
        </w:tc>
        <w:tc>
          <w:tcPr>
            <w:tcW w:w="1197" w:type="dxa"/>
            <w:tcMar>
              <w:left w:w="108" w:type="dxa"/>
              <w:right w:w="108" w:type="dxa"/>
            </w:tcMar>
            <w:vAlign w:val="center"/>
          </w:tcPr>
          <w:p w14:paraId="39A93D1B">
            <w:pPr>
              <w:jc w:val="center"/>
              <w:rPr>
                <w:color w:val="000000" w:themeColor="text1"/>
                <w14:textFill>
                  <w14:solidFill>
                    <w14:schemeClr w14:val="tx1"/>
                  </w14:solidFill>
                </w14:textFill>
              </w:rPr>
            </w:pPr>
          </w:p>
        </w:tc>
        <w:tc>
          <w:tcPr>
            <w:tcW w:w="1268" w:type="dxa"/>
          </w:tcPr>
          <w:p w14:paraId="16AA0292">
            <w:pPr>
              <w:jc w:val="center"/>
              <w:rPr>
                <w:color w:val="000000" w:themeColor="text1"/>
                <w14:textFill>
                  <w14:solidFill>
                    <w14:schemeClr w14:val="tx1"/>
                  </w14:solidFill>
                </w14:textFill>
              </w:rPr>
            </w:pPr>
          </w:p>
        </w:tc>
        <w:tc>
          <w:tcPr>
            <w:tcW w:w="673" w:type="dxa"/>
            <w:tcMar>
              <w:left w:w="108" w:type="dxa"/>
              <w:right w:w="108" w:type="dxa"/>
            </w:tcMar>
            <w:vAlign w:val="center"/>
          </w:tcPr>
          <w:p w14:paraId="2FF900F2">
            <w:pPr>
              <w:jc w:val="center"/>
              <w:rPr>
                <w:color w:val="000000" w:themeColor="text1"/>
                <w14:textFill>
                  <w14:solidFill>
                    <w14:schemeClr w14:val="tx1"/>
                  </w14:solidFill>
                </w14:textFill>
              </w:rPr>
            </w:pPr>
          </w:p>
        </w:tc>
      </w:tr>
      <w:tr w14:paraId="61A9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6949186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203F2549">
            <w:pPr>
              <w:jc w:val="center"/>
              <w:rPr>
                <w:color w:val="000000" w:themeColor="text1"/>
                <w14:textFill>
                  <w14:solidFill>
                    <w14:schemeClr w14:val="tx1"/>
                  </w14:solidFill>
                </w14:textFill>
              </w:rPr>
            </w:pPr>
          </w:p>
        </w:tc>
        <w:tc>
          <w:tcPr>
            <w:tcW w:w="751" w:type="dxa"/>
            <w:tcMar>
              <w:left w:w="108" w:type="dxa"/>
              <w:right w:w="108" w:type="dxa"/>
            </w:tcMar>
            <w:vAlign w:val="center"/>
          </w:tcPr>
          <w:p w14:paraId="182E764B">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7D51C6E">
            <w:pPr>
              <w:jc w:val="center"/>
              <w:rPr>
                <w:color w:val="000000" w:themeColor="text1"/>
                <w14:textFill>
                  <w14:solidFill>
                    <w14:schemeClr w14:val="tx1"/>
                  </w14:solidFill>
                </w14:textFill>
              </w:rPr>
            </w:pPr>
          </w:p>
        </w:tc>
        <w:tc>
          <w:tcPr>
            <w:tcW w:w="1123" w:type="dxa"/>
            <w:tcMar>
              <w:left w:w="108" w:type="dxa"/>
              <w:right w:w="108" w:type="dxa"/>
            </w:tcMar>
            <w:vAlign w:val="center"/>
          </w:tcPr>
          <w:p w14:paraId="019B6CBC">
            <w:pPr>
              <w:jc w:val="center"/>
              <w:rPr>
                <w:color w:val="000000" w:themeColor="text1"/>
                <w14:textFill>
                  <w14:solidFill>
                    <w14:schemeClr w14:val="tx1"/>
                  </w14:solidFill>
                </w14:textFill>
              </w:rPr>
            </w:pPr>
          </w:p>
        </w:tc>
        <w:tc>
          <w:tcPr>
            <w:tcW w:w="1090" w:type="dxa"/>
            <w:tcMar>
              <w:left w:w="108" w:type="dxa"/>
              <w:right w:w="108" w:type="dxa"/>
            </w:tcMar>
            <w:vAlign w:val="center"/>
          </w:tcPr>
          <w:p w14:paraId="327BC1B8">
            <w:pPr>
              <w:jc w:val="center"/>
              <w:rPr>
                <w:color w:val="000000" w:themeColor="text1"/>
                <w14:textFill>
                  <w14:solidFill>
                    <w14:schemeClr w14:val="tx1"/>
                  </w14:solidFill>
                </w14:textFill>
              </w:rPr>
            </w:pPr>
          </w:p>
        </w:tc>
        <w:tc>
          <w:tcPr>
            <w:tcW w:w="1197" w:type="dxa"/>
            <w:tcMar>
              <w:left w:w="108" w:type="dxa"/>
              <w:right w:w="108" w:type="dxa"/>
            </w:tcMar>
            <w:vAlign w:val="center"/>
          </w:tcPr>
          <w:p w14:paraId="5F4AF429">
            <w:pPr>
              <w:jc w:val="center"/>
              <w:rPr>
                <w:color w:val="000000" w:themeColor="text1"/>
                <w14:textFill>
                  <w14:solidFill>
                    <w14:schemeClr w14:val="tx1"/>
                  </w14:solidFill>
                </w14:textFill>
              </w:rPr>
            </w:pPr>
          </w:p>
        </w:tc>
        <w:tc>
          <w:tcPr>
            <w:tcW w:w="1268" w:type="dxa"/>
          </w:tcPr>
          <w:p w14:paraId="2363138C">
            <w:pPr>
              <w:jc w:val="center"/>
              <w:rPr>
                <w:color w:val="000000" w:themeColor="text1"/>
                <w14:textFill>
                  <w14:solidFill>
                    <w14:schemeClr w14:val="tx1"/>
                  </w14:solidFill>
                </w14:textFill>
              </w:rPr>
            </w:pPr>
          </w:p>
        </w:tc>
        <w:tc>
          <w:tcPr>
            <w:tcW w:w="673" w:type="dxa"/>
            <w:tcMar>
              <w:left w:w="108" w:type="dxa"/>
              <w:right w:w="108" w:type="dxa"/>
            </w:tcMar>
            <w:vAlign w:val="center"/>
          </w:tcPr>
          <w:p w14:paraId="577CB293">
            <w:pPr>
              <w:jc w:val="center"/>
              <w:rPr>
                <w:color w:val="000000" w:themeColor="text1"/>
                <w14:textFill>
                  <w14:solidFill>
                    <w14:schemeClr w14:val="tx1"/>
                  </w14:solidFill>
                </w14:textFill>
              </w:rPr>
            </w:pPr>
          </w:p>
        </w:tc>
      </w:tr>
      <w:tr w14:paraId="2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AB8AF2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0EDAFAE">
            <w:pPr>
              <w:jc w:val="center"/>
              <w:rPr>
                <w:color w:val="000000" w:themeColor="text1"/>
                <w14:textFill>
                  <w14:solidFill>
                    <w14:schemeClr w14:val="tx1"/>
                  </w14:solidFill>
                </w14:textFill>
              </w:rPr>
            </w:pPr>
          </w:p>
        </w:tc>
        <w:tc>
          <w:tcPr>
            <w:tcW w:w="751" w:type="dxa"/>
            <w:tcMar>
              <w:left w:w="108" w:type="dxa"/>
              <w:right w:w="108" w:type="dxa"/>
            </w:tcMar>
            <w:vAlign w:val="center"/>
          </w:tcPr>
          <w:p w14:paraId="4E69411E">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2BAC2DC0">
            <w:pPr>
              <w:jc w:val="center"/>
              <w:rPr>
                <w:color w:val="000000" w:themeColor="text1"/>
                <w14:textFill>
                  <w14:solidFill>
                    <w14:schemeClr w14:val="tx1"/>
                  </w14:solidFill>
                </w14:textFill>
              </w:rPr>
            </w:pPr>
          </w:p>
        </w:tc>
        <w:tc>
          <w:tcPr>
            <w:tcW w:w="1123" w:type="dxa"/>
            <w:tcMar>
              <w:left w:w="108" w:type="dxa"/>
              <w:right w:w="108" w:type="dxa"/>
            </w:tcMar>
            <w:vAlign w:val="center"/>
          </w:tcPr>
          <w:p w14:paraId="4514CC62">
            <w:pPr>
              <w:jc w:val="center"/>
              <w:rPr>
                <w:color w:val="000000" w:themeColor="text1"/>
                <w14:textFill>
                  <w14:solidFill>
                    <w14:schemeClr w14:val="tx1"/>
                  </w14:solidFill>
                </w14:textFill>
              </w:rPr>
            </w:pPr>
          </w:p>
        </w:tc>
        <w:tc>
          <w:tcPr>
            <w:tcW w:w="1090" w:type="dxa"/>
            <w:tcMar>
              <w:left w:w="108" w:type="dxa"/>
              <w:right w:w="108" w:type="dxa"/>
            </w:tcMar>
            <w:vAlign w:val="center"/>
          </w:tcPr>
          <w:p w14:paraId="71DEB0B9">
            <w:pPr>
              <w:jc w:val="center"/>
              <w:rPr>
                <w:color w:val="000000" w:themeColor="text1"/>
                <w14:textFill>
                  <w14:solidFill>
                    <w14:schemeClr w14:val="tx1"/>
                  </w14:solidFill>
                </w14:textFill>
              </w:rPr>
            </w:pPr>
          </w:p>
        </w:tc>
        <w:tc>
          <w:tcPr>
            <w:tcW w:w="1197" w:type="dxa"/>
            <w:tcMar>
              <w:left w:w="108" w:type="dxa"/>
              <w:right w:w="108" w:type="dxa"/>
            </w:tcMar>
            <w:vAlign w:val="center"/>
          </w:tcPr>
          <w:p w14:paraId="6933CD35">
            <w:pPr>
              <w:jc w:val="center"/>
              <w:rPr>
                <w:color w:val="000000" w:themeColor="text1"/>
                <w14:textFill>
                  <w14:solidFill>
                    <w14:schemeClr w14:val="tx1"/>
                  </w14:solidFill>
                </w14:textFill>
              </w:rPr>
            </w:pPr>
          </w:p>
        </w:tc>
        <w:tc>
          <w:tcPr>
            <w:tcW w:w="1268" w:type="dxa"/>
          </w:tcPr>
          <w:p w14:paraId="2BF45BF3">
            <w:pPr>
              <w:jc w:val="center"/>
              <w:rPr>
                <w:color w:val="000000" w:themeColor="text1"/>
                <w14:textFill>
                  <w14:solidFill>
                    <w14:schemeClr w14:val="tx1"/>
                  </w14:solidFill>
                </w14:textFill>
              </w:rPr>
            </w:pPr>
          </w:p>
        </w:tc>
        <w:tc>
          <w:tcPr>
            <w:tcW w:w="673" w:type="dxa"/>
            <w:tcMar>
              <w:left w:w="108" w:type="dxa"/>
              <w:right w:w="108" w:type="dxa"/>
            </w:tcMar>
            <w:vAlign w:val="center"/>
          </w:tcPr>
          <w:p w14:paraId="4C763A54">
            <w:pPr>
              <w:jc w:val="center"/>
              <w:rPr>
                <w:color w:val="000000" w:themeColor="text1"/>
                <w14:textFill>
                  <w14:solidFill>
                    <w14:schemeClr w14:val="tx1"/>
                  </w14:solidFill>
                </w14:textFill>
              </w:rPr>
            </w:pPr>
          </w:p>
        </w:tc>
      </w:tr>
    </w:tbl>
    <w:p w14:paraId="25EA19C5">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6D61F43F">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5C0D5933">
      <w:pPr>
        <w:adjustRightInd w:val="0"/>
        <w:spacing w:line="360" w:lineRule="auto"/>
        <w:contextualSpacing/>
        <w:rPr>
          <w:rFonts w:ascii="宋体" w:cs="仿宋_GB2312"/>
          <w:color w:val="000000" w:themeColor="text1"/>
          <w:sz w:val="24"/>
          <w14:textFill>
            <w14:solidFill>
              <w14:schemeClr w14:val="tx1"/>
            </w14:solidFill>
          </w14:textFill>
        </w:rPr>
      </w:pPr>
    </w:p>
    <w:p w14:paraId="5F364EB7">
      <w:pPr>
        <w:spacing w:line="360" w:lineRule="auto"/>
        <w:ind w:right="-817" w:rightChars="-389"/>
        <w:contextualSpacing/>
        <w:rPr>
          <w:rFonts w:ascii="宋体" w:cs="仿宋_GB2312"/>
          <w:color w:val="000000" w:themeColor="text1"/>
          <w:sz w:val="24"/>
          <w14:textFill>
            <w14:solidFill>
              <w14:schemeClr w14:val="tx1"/>
            </w14:solidFill>
          </w14:textFill>
        </w:rPr>
      </w:pPr>
    </w:p>
    <w:p w14:paraId="05EB981D">
      <w:pPr>
        <w:spacing w:line="360" w:lineRule="auto"/>
        <w:ind w:right="-817" w:rightChars="-389"/>
        <w:contextualSpacing/>
        <w:rPr>
          <w:rFonts w:ascii="宋体" w:cs="仿宋_GB2312"/>
          <w:color w:val="000000" w:themeColor="text1"/>
          <w:sz w:val="24"/>
          <w14:textFill>
            <w14:solidFill>
              <w14:schemeClr w14:val="tx1"/>
            </w14:solidFill>
          </w14:textFill>
        </w:rPr>
      </w:pPr>
    </w:p>
    <w:p w14:paraId="2FAB1673">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5EC9DA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4EECBE36">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BE3B031">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4C329AE1">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4D18B1B9">
      <w:pPr>
        <w:pStyle w:val="26"/>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387F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0BD0DE1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AA3FCC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77359DD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61FD2E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14FB7644">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30BD9371">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12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44B77C42">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484AA9D0">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697B3F4B">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5BB5D72D">
            <w:pPr>
              <w:ind w:left="223" w:hanging="222" w:hangingChars="106"/>
              <w:jc w:val="center"/>
              <w:rPr>
                <w:color w:val="000000" w:themeColor="text1"/>
                <w14:textFill>
                  <w14:solidFill>
                    <w14:schemeClr w14:val="tx1"/>
                  </w14:solidFill>
                </w14:textFill>
              </w:rPr>
            </w:pPr>
          </w:p>
        </w:tc>
        <w:tc>
          <w:tcPr>
            <w:tcW w:w="1148" w:type="dxa"/>
            <w:vAlign w:val="center"/>
          </w:tcPr>
          <w:p w14:paraId="338A380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2C6A412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560FFEE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118640D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00B744C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7F8ED0B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309163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1F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85346CC">
            <w:pPr>
              <w:pStyle w:val="175"/>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31587868">
            <w:pPr>
              <w:ind w:left="223" w:hanging="222" w:hangingChars="106"/>
              <w:jc w:val="center"/>
              <w:rPr>
                <w:color w:val="000000" w:themeColor="text1"/>
                <w:szCs w:val="21"/>
                <w14:textFill>
                  <w14:solidFill>
                    <w14:schemeClr w14:val="tx1"/>
                  </w14:solidFill>
                </w14:textFill>
              </w:rPr>
            </w:pPr>
          </w:p>
        </w:tc>
        <w:tc>
          <w:tcPr>
            <w:tcW w:w="829" w:type="dxa"/>
            <w:vAlign w:val="center"/>
          </w:tcPr>
          <w:p w14:paraId="05B9C5DC">
            <w:pPr>
              <w:ind w:left="223" w:hanging="222" w:hangingChars="106"/>
              <w:jc w:val="center"/>
              <w:rPr>
                <w:color w:val="000000" w:themeColor="text1"/>
                <w:szCs w:val="21"/>
                <w14:textFill>
                  <w14:solidFill>
                    <w14:schemeClr w14:val="tx1"/>
                  </w14:solidFill>
                </w14:textFill>
              </w:rPr>
            </w:pPr>
          </w:p>
        </w:tc>
        <w:tc>
          <w:tcPr>
            <w:tcW w:w="816" w:type="dxa"/>
            <w:vAlign w:val="center"/>
          </w:tcPr>
          <w:p w14:paraId="274C1229">
            <w:pPr>
              <w:ind w:left="223" w:hanging="222" w:hangingChars="106"/>
              <w:jc w:val="center"/>
              <w:rPr>
                <w:color w:val="000000" w:themeColor="text1"/>
                <w:szCs w:val="21"/>
                <w14:textFill>
                  <w14:solidFill>
                    <w14:schemeClr w14:val="tx1"/>
                  </w14:solidFill>
                </w14:textFill>
              </w:rPr>
            </w:pPr>
          </w:p>
        </w:tc>
        <w:tc>
          <w:tcPr>
            <w:tcW w:w="1148" w:type="dxa"/>
            <w:vAlign w:val="center"/>
          </w:tcPr>
          <w:p w14:paraId="3B3BE706">
            <w:pPr>
              <w:ind w:left="223" w:hanging="222" w:hangingChars="106"/>
              <w:jc w:val="center"/>
              <w:rPr>
                <w:color w:val="000000" w:themeColor="text1"/>
                <w:szCs w:val="21"/>
                <w14:textFill>
                  <w14:solidFill>
                    <w14:schemeClr w14:val="tx1"/>
                  </w14:solidFill>
                </w14:textFill>
              </w:rPr>
            </w:pPr>
          </w:p>
        </w:tc>
        <w:tc>
          <w:tcPr>
            <w:tcW w:w="1148" w:type="dxa"/>
            <w:vAlign w:val="center"/>
          </w:tcPr>
          <w:p w14:paraId="0EE64906">
            <w:pPr>
              <w:ind w:left="223" w:hanging="222" w:hangingChars="106"/>
              <w:jc w:val="center"/>
              <w:rPr>
                <w:color w:val="000000" w:themeColor="text1"/>
                <w:szCs w:val="21"/>
                <w14:textFill>
                  <w14:solidFill>
                    <w14:schemeClr w14:val="tx1"/>
                  </w14:solidFill>
                </w14:textFill>
              </w:rPr>
            </w:pPr>
          </w:p>
        </w:tc>
        <w:tc>
          <w:tcPr>
            <w:tcW w:w="1148" w:type="dxa"/>
            <w:vAlign w:val="center"/>
          </w:tcPr>
          <w:p w14:paraId="53290058">
            <w:pPr>
              <w:ind w:left="223" w:hanging="222" w:hangingChars="106"/>
              <w:jc w:val="center"/>
              <w:rPr>
                <w:color w:val="000000" w:themeColor="text1"/>
                <w:szCs w:val="21"/>
                <w14:textFill>
                  <w14:solidFill>
                    <w14:schemeClr w14:val="tx1"/>
                  </w14:solidFill>
                </w14:textFill>
              </w:rPr>
            </w:pPr>
          </w:p>
        </w:tc>
        <w:tc>
          <w:tcPr>
            <w:tcW w:w="744" w:type="dxa"/>
            <w:vAlign w:val="center"/>
          </w:tcPr>
          <w:p w14:paraId="2B40907F">
            <w:pPr>
              <w:ind w:left="223" w:hanging="222" w:hangingChars="106"/>
              <w:jc w:val="center"/>
              <w:rPr>
                <w:color w:val="000000" w:themeColor="text1"/>
                <w:szCs w:val="21"/>
                <w14:textFill>
                  <w14:solidFill>
                    <w14:schemeClr w14:val="tx1"/>
                  </w14:solidFill>
                </w14:textFill>
              </w:rPr>
            </w:pPr>
          </w:p>
        </w:tc>
        <w:tc>
          <w:tcPr>
            <w:tcW w:w="1167" w:type="dxa"/>
            <w:vAlign w:val="center"/>
          </w:tcPr>
          <w:p w14:paraId="3855D718">
            <w:pPr>
              <w:ind w:left="223" w:hanging="222" w:hangingChars="106"/>
              <w:jc w:val="center"/>
              <w:rPr>
                <w:color w:val="000000" w:themeColor="text1"/>
                <w:szCs w:val="21"/>
                <w14:textFill>
                  <w14:solidFill>
                    <w14:schemeClr w14:val="tx1"/>
                  </w14:solidFill>
                </w14:textFill>
              </w:rPr>
            </w:pPr>
          </w:p>
        </w:tc>
        <w:tc>
          <w:tcPr>
            <w:tcW w:w="1276" w:type="dxa"/>
            <w:vAlign w:val="center"/>
          </w:tcPr>
          <w:p w14:paraId="70907642">
            <w:pPr>
              <w:ind w:left="223" w:hanging="222" w:hangingChars="106"/>
              <w:jc w:val="center"/>
              <w:rPr>
                <w:color w:val="000000" w:themeColor="text1"/>
                <w:szCs w:val="21"/>
                <w14:textFill>
                  <w14:solidFill>
                    <w14:schemeClr w14:val="tx1"/>
                  </w14:solidFill>
                </w14:textFill>
              </w:rPr>
            </w:pPr>
          </w:p>
        </w:tc>
      </w:tr>
      <w:tr w14:paraId="7A98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CE9B21E">
            <w:pPr>
              <w:pStyle w:val="175"/>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659BFF7">
            <w:pPr>
              <w:ind w:left="223" w:hanging="222" w:hangingChars="106"/>
              <w:jc w:val="center"/>
              <w:rPr>
                <w:color w:val="000000" w:themeColor="text1"/>
                <w:szCs w:val="21"/>
                <w14:textFill>
                  <w14:solidFill>
                    <w14:schemeClr w14:val="tx1"/>
                  </w14:solidFill>
                </w14:textFill>
              </w:rPr>
            </w:pPr>
          </w:p>
        </w:tc>
        <w:tc>
          <w:tcPr>
            <w:tcW w:w="829" w:type="dxa"/>
            <w:vAlign w:val="center"/>
          </w:tcPr>
          <w:p w14:paraId="47CEC18F">
            <w:pPr>
              <w:ind w:left="223" w:hanging="222" w:hangingChars="106"/>
              <w:jc w:val="center"/>
              <w:rPr>
                <w:color w:val="000000" w:themeColor="text1"/>
                <w:szCs w:val="21"/>
                <w14:textFill>
                  <w14:solidFill>
                    <w14:schemeClr w14:val="tx1"/>
                  </w14:solidFill>
                </w14:textFill>
              </w:rPr>
            </w:pPr>
          </w:p>
        </w:tc>
        <w:tc>
          <w:tcPr>
            <w:tcW w:w="816" w:type="dxa"/>
            <w:vAlign w:val="center"/>
          </w:tcPr>
          <w:p w14:paraId="2FE88D61">
            <w:pPr>
              <w:ind w:left="223" w:hanging="222" w:hangingChars="106"/>
              <w:jc w:val="center"/>
              <w:rPr>
                <w:color w:val="000000" w:themeColor="text1"/>
                <w:szCs w:val="21"/>
                <w14:textFill>
                  <w14:solidFill>
                    <w14:schemeClr w14:val="tx1"/>
                  </w14:solidFill>
                </w14:textFill>
              </w:rPr>
            </w:pPr>
          </w:p>
        </w:tc>
        <w:tc>
          <w:tcPr>
            <w:tcW w:w="1148" w:type="dxa"/>
            <w:vAlign w:val="center"/>
          </w:tcPr>
          <w:p w14:paraId="24079B67">
            <w:pPr>
              <w:ind w:left="223" w:hanging="222" w:hangingChars="106"/>
              <w:jc w:val="center"/>
              <w:rPr>
                <w:color w:val="000000" w:themeColor="text1"/>
                <w:szCs w:val="21"/>
                <w14:textFill>
                  <w14:solidFill>
                    <w14:schemeClr w14:val="tx1"/>
                  </w14:solidFill>
                </w14:textFill>
              </w:rPr>
            </w:pPr>
          </w:p>
        </w:tc>
        <w:tc>
          <w:tcPr>
            <w:tcW w:w="1148" w:type="dxa"/>
            <w:vAlign w:val="center"/>
          </w:tcPr>
          <w:p w14:paraId="7D05E107">
            <w:pPr>
              <w:ind w:left="223" w:hanging="222" w:hangingChars="106"/>
              <w:jc w:val="center"/>
              <w:rPr>
                <w:color w:val="000000" w:themeColor="text1"/>
                <w:szCs w:val="21"/>
                <w14:textFill>
                  <w14:solidFill>
                    <w14:schemeClr w14:val="tx1"/>
                  </w14:solidFill>
                </w14:textFill>
              </w:rPr>
            </w:pPr>
          </w:p>
        </w:tc>
        <w:tc>
          <w:tcPr>
            <w:tcW w:w="1148" w:type="dxa"/>
            <w:vAlign w:val="center"/>
          </w:tcPr>
          <w:p w14:paraId="0F56EE2D">
            <w:pPr>
              <w:ind w:left="223" w:hanging="222" w:hangingChars="106"/>
              <w:jc w:val="center"/>
              <w:rPr>
                <w:color w:val="000000" w:themeColor="text1"/>
                <w:szCs w:val="21"/>
                <w14:textFill>
                  <w14:solidFill>
                    <w14:schemeClr w14:val="tx1"/>
                  </w14:solidFill>
                </w14:textFill>
              </w:rPr>
            </w:pPr>
          </w:p>
        </w:tc>
        <w:tc>
          <w:tcPr>
            <w:tcW w:w="744" w:type="dxa"/>
            <w:vAlign w:val="center"/>
          </w:tcPr>
          <w:p w14:paraId="54BC613F">
            <w:pPr>
              <w:ind w:left="223" w:hanging="222" w:hangingChars="106"/>
              <w:jc w:val="center"/>
              <w:rPr>
                <w:color w:val="000000" w:themeColor="text1"/>
                <w:szCs w:val="21"/>
                <w14:textFill>
                  <w14:solidFill>
                    <w14:schemeClr w14:val="tx1"/>
                  </w14:solidFill>
                </w14:textFill>
              </w:rPr>
            </w:pPr>
          </w:p>
        </w:tc>
        <w:tc>
          <w:tcPr>
            <w:tcW w:w="1167" w:type="dxa"/>
            <w:vAlign w:val="center"/>
          </w:tcPr>
          <w:p w14:paraId="2731FB7D">
            <w:pPr>
              <w:ind w:left="223" w:hanging="222" w:hangingChars="106"/>
              <w:jc w:val="center"/>
              <w:rPr>
                <w:color w:val="000000" w:themeColor="text1"/>
                <w:szCs w:val="21"/>
                <w14:textFill>
                  <w14:solidFill>
                    <w14:schemeClr w14:val="tx1"/>
                  </w14:solidFill>
                </w14:textFill>
              </w:rPr>
            </w:pPr>
          </w:p>
        </w:tc>
        <w:tc>
          <w:tcPr>
            <w:tcW w:w="1276" w:type="dxa"/>
            <w:vAlign w:val="center"/>
          </w:tcPr>
          <w:p w14:paraId="308CC278">
            <w:pPr>
              <w:ind w:left="223" w:hanging="222" w:hangingChars="106"/>
              <w:jc w:val="center"/>
              <w:rPr>
                <w:color w:val="000000" w:themeColor="text1"/>
                <w:szCs w:val="21"/>
                <w14:textFill>
                  <w14:solidFill>
                    <w14:schemeClr w14:val="tx1"/>
                  </w14:solidFill>
                </w14:textFill>
              </w:rPr>
            </w:pPr>
          </w:p>
        </w:tc>
      </w:tr>
      <w:tr w14:paraId="0DBB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177FD96">
            <w:pPr>
              <w:pStyle w:val="175"/>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3B6B6C64">
            <w:pPr>
              <w:ind w:left="223" w:hanging="222" w:hangingChars="106"/>
              <w:jc w:val="center"/>
              <w:rPr>
                <w:color w:val="000000" w:themeColor="text1"/>
                <w:szCs w:val="21"/>
                <w14:textFill>
                  <w14:solidFill>
                    <w14:schemeClr w14:val="tx1"/>
                  </w14:solidFill>
                </w14:textFill>
              </w:rPr>
            </w:pPr>
          </w:p>
        </w:tc>
        <w:tc>
          <w:tcPr>
            <w:tcW w:w="829" w:type="dxa"/>
            <w:vAlign w:val="center"/>
          </w:tcPr>
          <w:p w14:paraId="6DD4BD3D">
            <w:pPr>
              <w:ind w:left="223" w:hanging="222" w:hangingChars="106"/>
              <w:jc w:val="center"/>
              <w:rPr>
                <w:color w:val="000000" w:themeColor="text1"/>
                <w:szCs w:val="21"/>
                <w14:textFill>
                  <w14:solidFill>
                    <w14:schemeClr w14:val="tx1"/>
                  </w14:solidFill>
                </w14:textFill>
              </w:rPr>
            </w:pPr>
          </w:p>
        </w:tc>
        <w:tc>
          <w:tcPr>
            <w:tcW w:w="816" w:type="dxa"/>
            <w:vAlign w:val="center"/>
          </w:tcPr>
          <w:p w14:paraId="602A4607">
            <w:pPr>
              <w:ind w:left="223" w:hanging="222" w:hangingChars="106"/>
              <w:jc w:val="center"/>
              <w:rPr>
                <w:color w:val="000000" w:themeColor="text1"/>
                <w:szCs w:val="21"/>
                <w14:textFill>
                  <w14:solidFill>
                    <w14:schemeClr w14:val="tx1"/>
                  </w14:solidFill>
                </w14:textFill>
              </w:rPr>
            </w:pPr>
          </w:p>
        </w:tc>
        <w:tc>
          <w:tcPr>
            <w:tcW w:w="1148" w:type="dxa"/>
            <w:vAlign w:val="center"/>
          </w:tcPr>
          <w:p w14:paraId="4AE381EA">
            <w:pPr>
              <w:ind w:left="223" w:hanging="222" w:hangingChars="106"/>
              <w:jc w:val="center"/>
              <w:rPr>
                <w:color w:val="000000" w:themeColor="text1"/>
                <w:szCs w:val="21"/>
                <w14:textFill>
                  <w14:solidFill>
                    <w14:schemeClr w14:val="tx1"/>
                  </w14:solidFill>
                </w14:textFill>
              </w:rPr>
            </w:pPr>
          </w:p>
        </w:tc>
        <w:tc>
          <w:tcPr>
            <w:tcW w:w="1148" w:type="dxa"/>
            <w:vAlign w:val="center"/>
          </w:tcPr>
          <w:p w14:paraId="6BF4E475">
            <w:pPr>
              <w:ind w:left="223" w:hanging="222" w:hangingChars="106"/>
              <w:jc w:val="center"/>
              <w:rPr>
                <w:color w:val="000000" w:themeColor="text1"/>
                <w:szCs w:val="21"/>
                <w14:textFill>
                  <w14:solidFill>
                    <w14:schemeClr w14:val="tx1"/>
                  </w14:solidFill>
                </w14:textFill>
              </w:rPr>
            </w:pPr>
          </w:p>
        </w:tc>
        <w:tc>
          <w:tcPr>
            <w:tcW w:w="1148" w:type="dxa"/>
            <w:vAlign w:val="center"/>
          </w:tcPr>
          <w:p w14:paraId="051E5E1E">
            <w:pPr>
              <w:ind w:left="223" w:hanging="222" w:hangingChars="106"/>
              <w:jc w:val="center"/>
              <w:rPr>
                <w:color w:val="000000" w:themeColor="text1"/>
                <w:szCs w:val="21"/>
                <w14:textFill>
                  <w14:solidFill>
                    <w14:schemeClr w14:val="tx1"/>
                  </w14:solidFill>
                </w14:textFill>
              </w:rPr>
            </w:pPr>
          </w:p>
        </w:tc>
        <w:tc>
          <w:tcPr>
            <w:tcW w:w="744" w:type="dxa"/>
            <w:vAlign w:val="center"/>
          </w:tcPr>
          <w:p w14:paraId="3FEBC952">
            <w:pPr>
              <w:ind w:left="223" w:hanging="222" w:hangingChars="106"/>
              <w:jc w:val="center"/>
              <w:rPr>
                <w:color w:val="000000" w:themeColor="text1"/>
                <w:szCs w:val="21"/>
                <w14:textFill>
                  <w14:solidFill>
                    <w14:schemeClr w14:val="tx1"/>
                  </w14:solidFill>
                </w14:textFill>
              </w:rPr>
            </w:pPr>
          </w:p>
        </w:tc>
        <w:tc>
          <w:tcPr>
            <w:tcW w:w="1167" w:type="dxa"/>
            <w:vAlign w:val="center"/>
          </w:tcPr>
          <w:p w14:paraId="41BF3B45">
            <w:pPr>
              <w:ind w:left="223" w:hanging="222" w:hangingChars="106"/>
              <w:jc w:val="center"/>
              <w:rPr>
                <w:color w:val="000000" w:themeColor="text1"/>
                <w:szCs w:val="21"/>
                <w14:textFill>
                  <w14:solidFill>
                    <w14:schemeClr w14:val="tx1"/>
                  </w14:solidFill>
                </w14:textFill>
              </w:rPr>
            </w:pPr>
          </w:p>
        </w:tc>
        <w:tc>
          <w:tcPr>
            <w:tcW w:w="1276" w:type="dxa"/>
            <w:vAlign w:val="center"/>
          </w:tcPr>
          <w:p w14:paraId="318A3312">
            <w:pPr>
              <w:ind w:left="223" w:hanging="222" w:hangingChars="106"/>
              <w:jc w:val="center"/>
              <w:rPr>
                <w:color w:val="000000" w:themeColor="text1"/>
                <w:szCs w:val="21"/>
                <w14:textFill>
                  <w14:solidFill>
                    <w14:schemeClr w14:val="tx1"/>
                  </w14:solidFill>
                </w14:textFill>
              </w:rPr>
            </w:pPr>
          </w:p>
        </w:tc>
      </w:tr>
      <w:tr w14:paraId="3A6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41D6313">
            <w:pPr>
              <w:pStyle w:val="175"/>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2DCBA7D3">
            <w:pPr>
              <w:ind w:left="223" w:hanging="222" w:hangingChars="106"/>
              <w:jc w:val="center"/>
              <w:rPr>
                <w:color w:val="000000" w:themeColor="text1"/>
                <w:szCs w:val="21"/>
                <w14:textFill>
                  <w14:solidFill>
                    <w14:schemeClr w14:val="tx1"/>
                  </w14:solidFill>
                </w14:textFill>
              </w:rPr>
            </w:pPr>
          </w:p>
        </w:tc>
        <w:tc>
          <w:tcPr>
            <w:tcW w:w="829" w:type="dxa"/>
            <w:vAlign w:val="center"/>
          </w:tcPr>
          <w:p w14:paraId="54606054">
            <w:pPr>
              <w:ind w:left="223" w:hanging="222" w:hangingChars="106"/>
              <w:jc w:val="center"/>
              <w:rPr>
                <w:color w:val="000000" w:themeColor="text1"/>
                <w:szCs w:val="21"/>
                <w14:textFill>
                  <w14:solidFill>
                    <w14:schemeClr w14:val="tx1"/>
                  </w14:solidFill>
                </w14:textFill>
              </w:rPr>
            </w:pPr>
          </w:p>
        </w:tc>
        <w:tc>
          <w:tcPr>
            <w:tcW w:w="816" w:type="dxa"/>
            <w:vAlign w:val="center"/>
          </w:tcPr>
          <w:p w14:paraId="04144662">
            <w:pPr>
              <w:ind w:left="223" w:hanging="222" w:hangingChars="106"/>
              <w:jc w:val="center"/>
              <w:rPr>
                <w:color w:val="000000" w:themeColor="text1"/>
                <w:szCs w:val="21"/>
                <w14:textFill>
                  <w14:solidFill>
                    <w14:schemeClr w14:val="tx1"/>
                  </w14:solidFill>
                </w14:textFill>
              </w:rPr>
            </w:pPr>
          </w:p>
        </w:tc>
        <w:tc>
          <w:tcPr>
            <w:tcW w:w="1148" w:type="dxa"/>
            <w:vAlign w:val="center"/>
          </w:tcPr>
          <w:p w14:paraId="0DC997FF">
            <w:pPr>
              <w:ind w:left="223" w:hanging="222" w:hangingChars="106"/>
              <w:jc w:val="center"/>
              <w:rPr>
                <w:color w:val="000000" w:themeColor="text1"/>
                <w:szCs w:val="21"/>
                <w14:textFill>
                  <w14:solidFill>
                    <w14:schemeClr w14:val="tx1"/>
                  </w14:solidFill>
                </w14:textFill>
              </w:rPr>
            </w:pPr>
          </w:p>
        </w:tc>
        <w:tc>
          <w:tcPr>
            <w:tcW w:w="1148" w:type="dxa"/>
            <w:vAlign w:val="center"/>
          </w:tcPr>
          <w:p w14:paraId="7420B67A">
            <w:pPr>
              <w:ind w:left="223" w:hanging="222" w:hangingChars="106"/>
              <w:jc w:val="center"/>
              <w:rPr>
                <w:color w:val="000000" w:themeColor="text1"/>
                <w:szCs w:val="21"/>
                <w14:textFill>
                  <w14:solidFill>
                    <w14:schemeClr w14:val="tx1"/>
                  </w14:solidFill>
                </w14:textFill>
              </w:rPr>
            </w:pPr>
          </w:p>
        </w:tc>
        <w:tc>
          <w:tcPr>
            <w:tcW w:w="1148" w:type="dxa"/>
            <w:vAlign w:val="center"/>
          </w:tcPr>
          <w:p w14:paraId="5F6FFF75">
            <w:pPr>
              <w:ind w:left="223" w:hanging="222" w:hangingChars="106"/>
              <w:jc w:val="center"/>
              <w:rPr>
                <w:color w:val="000000" w:themeColor="text1"/>
                <w:szCs w:val="21"/>
                <w14:textFill>
                  <w14:solidFill>
                    <w14:schemeClr w14:val="tx1"/>
                  </w14:solidFill>
                </w14:textFill>
              </w:rPr>
            </w:pPr>
          </w:p>
        </w:tc>
        <w:tc>
          <w:tcPr>
            <w:tcW w:w="744" w:type="dxa"/>
            <w:vAlign w:val="center"/>
          </w:tcPr>
          <w:p w14:paraId="44318BEC">
            <w:pPr>
              <w:ind w:left="223" w:hanging="222" w:hangingChars="106"/>
              <w:jc w:val="center"/>
              <w:rPr>
                <w:color w:val="000000" w:themeColor="text1"/>
                <w:szCs w:val="21"/>
                <w14:textFill>
                  <w14:solidFill>
                    <w14:schemeClr w14:val="tx1"/>
                  </w14:solidFill>
                </w14:textFill>
              </w:rPr>
            </w:pPr>
          </w:p>
        </w:tc>
        <w:tc>
          <w:tcPr>
            <w:tcW w:w="1167" w:type="dxa"/>
            <w:vAlign w:val="center"/>
          </w:tcPr>
          <w:p w14:paraId="7B3E2CDE">
            <w:pPr>
              <w:ind w:left="223" w:hanging="222" w:hangingChars="106"/>
              <w:jc w:val="center"/>
              <w:rPr>
                <w:color w:val="000000" w:themeColor="text1"/>
                <w:szCs w:val="21"/>
                <w14:textFill>
                  <w14:solidFill>
                    <w14:schemeClr w14:val="tx1"/>
                  </w14:solidFill>
                </w14:textFill>
              </w:rPr>
            </w:pPr>
          </w:p>
        </w:tc>
        <w:tc>
          <w:tcPr>
            <w:tcW w:w="1276" w:type="dxa"/>
            <w:vAlign w:val="center"/>
          </w:tcPr>
          <w:p w14:paraId="6DDA9D81">
            <w:pPr>
              <w:ind w:left="223" w:hanging="222" w:hangingChars="106"/>
              <w:jc w:val="center"/>
              <w:rPr>
                <w:color w:val="000000" w:themeColor="text1"/>
                <w:szCs w:val="21"/>
                <w14:textFill>
                  <w14:solidFill>
                    <w14:schemeClr w14:val="tx1"/>
                  </w14:solidFill>
                </w14:textFill>
              </w:rPr>
            </w:pPr>
          </w:p>
        </w:tc>
      </w:tr>
      <w:tr w14:paraId="567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A88707C">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3AF3420C">
            <w:pPr>
              <w:ind w:left="223" w:hanging="222" w:hangingChars="106"/>
              <w:jc w:val="center"/>
              <w:rPr>
                <w:color w:val="000000" w:themeColor="text1"/>
                <w:szCs w:val="21"/>
                <w14:textFill>
                  <w14:solidFill>
                    <w14:schemeClr w14:val="tx1"/>
                  </w14:solidFill>
                </w14:textFill>
              </w:rPr>
            </w:pPr>
          </w:p>
        </w:tc>
        <w:tc>
          <w:tcPr>
            <w:tcW w:w="829" w:type="dxa"/>
            <w:vAlign w:val="center"/>
          </w:tcPr>
          <w:p w14:paraId="3CE27FAC">
            <w:pPr>
              <w:ind w:left="223" w:hanging="222" w:hangingChars="106"/>
              <w:jc w:val="center"/>
              <w:rPr>
                <w:color w:val="000000" w:themeColor="text1"/>
                <w:szCs w:val="21"/>
                <w14:textFill>
                  <w14:solidFill>
                    <w14:schemeClr w14:val="tx1"/>
                  </w14:solidFill>
                </w14:textFill>
              </w:rPr>
            </w:pPr>
          </w:p>
        </w:tc>
        <w:tc>
          <w:tcPr>
            <w:tcW w:w="816" w:type="dxa"/>
            <w:vAlign w:val="center"/>
          </w:tcPr>
          <w:p w14:paraId="29C4E963">
            <w:pPr>
              <w:ind w:left="223" w:hanging="222" w:hangingChars="106"/>
              <w:jc w:val="center"/>
              <w:rPr>
                <w:color w:val="000000" w:themeColor="text1"/>
                <w:szCs w:val="21"/>
                <w14:textFill>
                  <w14:solidFill>
                    <w14:schemeClr w14:val="tx1"/>
                  </w14:solidFill>
                </w14:textFill>
              </w:rPr>
            </w:pPr>
          </w:p>
        </w:tc>
        <w:tc>
          <w:tcPr>
            <w:tcW w:w="1148" w:type="dxa"/>
            <w:vAlign w:val="center"/>
          </w:tcPr>
          <w:p w14:paraId="7440E18B">
            <w:pPr>
              <w:ind w:left="223" w:hanging="222" w:hangingChars="106"/>
              <w:jc w:val="center"/>
              <w:rPr>
                <w:color w:val="000000" w:themeColor="text1"/>
                <w:szCs w:val="21"/>
                <w14:textFill>
                  <w14:solidFill>
                    <w14:schemeClr w14:val="tx1"/>
                  </w14:solidFill>
                </w14:textFill>
              </w:rPr>
            </w:pPr>
          </w:p>
        </w:tc>
        <w:tc>
          <w:tcPr>
            <w:tcW w:w="1148" w:type="dxa"/>
            <w:vAlign w:val="center"/>
          </w:tcPr>
          <w:p w14:paraId="0CA7D5B5">
            <w:pPr>
              <w:ind w:left="223" w:hanging="222" w:hangingChars="106"/>
              <w:jc w:val="center"/>
              <w:rPr>
                <w:color w:val="000000" w:themeColor="text1"/>
                <w:szCs w:val="21"/>
                <w14:textFill>
                  <w14:solidFill>
                    <w14:schemeClr w14:val="tx1"/>
                  </w14:solidFill>
                </w14:textFill>
              </w:rPr>
            </w:pPr>
          </w:p>
        </w:tc>
        <w:tc>
          <w:tcPr>
            <w:tcW w:w="1148" w:type="dxa"/>
            <w:vAlign w:val="center"/>
          </w:tcPr>
          <w:p w14:paraId="436BD5B9">
            <w:pPr>
              <w:ind w:left="223" w:hanging="222" w:hangingChars="106"/>
              <w:jc w:val="center"/>
              <w:rPr>
                <w:color w:val="000000" w:themeColor="text1"/>
                <w:szCs w:val="21"/>
                <w14:textFill>
                  <w14:solidFill>
                    <w14:schemeClr w14:val="tx1"/>
                  </w14:solidFill>
                </w14:textFill>
              </w:rPr>
            </w:pPr>
          </w:p>
        </w:tc>
        <w:tc>
          <w:tcPr>
            <w:tcW w:w="744" w:type="dxa"/>
            <w:vAlign w:val="center"/>
          </w:tcPr>
          <w:p w14:paraId="025957DD">
            <w:pPr>
              <w:ind w:left="223" w:hanging="222" w:hangingChars="106"/>
              <w:jc w:val="center"/>
              <w:rPr>
                <w:color w:val="000000" w:themeColor="text1"/>
                <w:szCs w:val="21"/>
                <w14:textFill>
                  <w14:solidFill>
                    <w14:schemeClr w14:val="tx1"/>
                  </w14:solidFill>
                </w14:textFill>
              </w:rPr>
            </w:pPr>
          </w:p>
        </w:tc>
        <w:tc>
          <w:tcPr>
            <w:tcW w:w="1167" w:type="dxa"/>
            <w:vAlign w:val="center"/>
          </w:tcPr>
          <w:p w14:paraId="56530C4C">
            <w:pPr>
              <w:ind w:left="223" w:hanging="222" w:hangingChars="106"/>
              <w:jc w:val="center"/>
              <w:rPr>
                <w:color w:val="000000" w:themeColor="text1"/>
                <w:szCs w:val="21"/>
                <w14:textFill>
                  <w14:solidFill>
                    <w14:schemeClr w14:val="tx1"/>
                  </w14:solidFill>
                </w14:textFill>
              </w:rPr>
            </w:pPr>
          </w:p>
        </w:tc>
        <w:tc>
          <w:tcPr>
            <w:tcW w:w="1276" w:type="dxa"/>
            <w:vAlign w:val="center"/>
          </w:tcPr>
          <w:p w14:paraId="5EA84F4F">
            <w:pPr>
              <w:ind w:left="223" w:hanging="222" w:hangingChars="106"/>
              <w:jc w:val="center"/>
              <w:rPr>
                <w:color w:val="000000" w:themeColor="text1"/>
                <w:szCs w:val="21"/>
                <w14:textFill>
                  <w14:solidFill>
                    <w14:schemeClr w14:val="tx1"/>
                  </w14:solidFill>
                </w14:textFill>
              </w:rPr>
            </w:pPr>
          </w:p>
        </w:tc>
      </w:tr>
      <w:tr w14:paraId="6352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9F061D5">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40CA8F55">
            <w:pPr>
              <w:ind w:left="223" w:hanging="222" w:hangingChars="106"/>
              <w:jc w:val="center"/>
              <w:rPr>
                <w:color w:val="000000" w:themeColor="text1"/>
                <w:szCs w:val="21"/>
                <w14:textFill>
                  <w14:solidFill>
                    <w14:schemeClr w14:val="tx1"/>
                  </w14:solidFill>
                </w14:textFill>
              </w:rPr>
            </w:pPr>
          </w:p>
        </w:tc>
        <w:tc>
          <w:tcPr>
            <w:tcW w:w="829" w:type="dxa"/>
            <w:vAlign w:val="center"/>
          </w:tcPr>
          <w:p w14:paraId="032F330F">
            <w:pPr>
              <w:ind w:left="223" w:hanging="222" w:hangingChars="106"/>
              <w:jc w:val="center"/>
              <w:rPr>
                <w:color w:val="000000" w:themeColor="text1"/>
                <w:szCs w:val="21"/>
                <w14:textFill>
                  <w14:solidFill>
                    <w14:schemeClr w14:val="tx1"/>
                  </w14:solidFill>
                </w14:textFill>
              </w:rPr>
            </w:pPr>
          </w:p>
        </w:tc>
        <w:tc>
          <w:tcPr>
            <w:tcW w:w="816" w:type="dxa"/>
            <w:vAlign w:val="center"/>
          </w:tcPr>
          <w:p w14:paraId="5D65ACD3">
            <w:pPr>
              <w:ind w:left="223" w:hanging="222" w:hangingChars="106"/>
              <w:jc w:val="center"/>
              <w:rPr>
                <w:color w:val="000000" w:themeColor="text1"/>
                <w:szCs w:val="21"/>
                <w14:textFill>
                  <w14:solidFill>
                    <w14:schemeClr w14:val="tx1"/>
                  </w14:solidFill>
                </w14:textFill>
              </w:rPr>
            </w:pPr>
          </w:p>
        </w:tc>
        <w:tc>
          <w:tcPr>
            <w:tcW w:w="1148" w:type="dxa"/>
            <w:vAlign w:val="center"/>
          </w:tcPr>
          <w:p w14:paraId="32F77FD6">
            <w:pPr>
              <w:ind w:left="223" w:hanging="222" w:hangingChars="106"/>
              <w:jc w:val="center"/>
              <w:rPr>
                <w:color w:val="000000" w:themeColor="text1"/>
                <w:szCs w:val="21"/>
                <w14:textFill>
                  <w14:solidFill>
                    <w14:schemeClr w14:val="tx1"/>
                  </w14:solidFill>
                </w14:textFill>
              </w:rPr>
            </w:pPr>
          </w:p>
        </w:tc>
        <w:tc>
          <w:tcPr>
            <w:tcW w:w="1148" w:type="dxa"/>
            <w:vAlign w:val="center"/>
          </w:tcPr>
          <w:p w14:paraId="20B41646">
            <w:pPr>
              <w:ind w:left="223" w:hanging="222" w:hangingChars="106"/>
              <w:jc w:val="center"/>
              <w:rPr>
                <w:color w:val="000000" w:themeColor="text1"/>
                <w:szCs w:val="21"/>
                <w14:textFill>
                  <w14:solidFill>
                    <w14:schemeClr w14:val="tx1"/>
                  </w14:solidFill>
                </w14:textFill>
              </w:rPr>
            </w:pPr>
          </w:p>
        </w:tc>
        <w:tc>
          <w:tcPr>
            <w:tcW w:w="1148" w:type="dxa"/>
            <w:vAlign w:val="center"/>
          </w:tcPr>
          <w:p w14:paraId="5D597A16">
            <w:pPr>
              <w:ind w:left="223" w:hanging="222" w:hangingChars="106"/>
              <w:jc w:val="center"/>
              <w:rPr>
                <w:color w:val="000000" w:themeColor="text1"/>
                <w:szCs w:val="21"/>
                <w14:textFill>
                  <w14:solidFill>
                    <w14:schemeClr w14:val="tx1"/>
                  </w14:solidFill>
                </w14:textFill>
              </w:rPr>
            </w:pPr>
          </w:p>
        </w:tc>
        <w:tc>
          <w:tcPr>
            <w:tcW w:w="744" w:type="dxa"/>
            <w:vAlign w:val="center"/>
          </w:tcPr>
          <w:p w14:paraId="1C42D289">
            <w:pPr>
              <w:ind w:left="223" w:hanging="222" w:hangingChars="106"/>
              <w:jc w:val="center"/>
              <w:rPr>
                <w:color w:val="000000" w:themeColor="text1"/>
                <w:szCs w:val="21"/>
                <w14:textFill>
                  <w14:solidFill>
                    <w14:schemeClr w14:val="tx1"/>
                  </w14:solidFill>
                </w14:textFill>
              </w:rPr>
            </w:pPr>
          </w:p>
        </w:tc>
        <w:tc>
          <w:tcPr>
            <w:tcW w:w="1167" w:type="dxa"/>
            <w:vAlign w:val="center"/>
          </w:tcPr>
          <w:p w14:paraId="071657D5">
            <w:pPr>
              <w:ind w:left="223" w:hanging="222" w:hangingChars="106"/>
              <w:jc w:val="center"/>
              <w:rPr>
                <w:color w:val="000000" w:themeColor="text1"/>
                <w:szCs w:val="21"/>
                <w14:textFill>
                  <w14:solidFill>
                    <w14:schemeClr w14:val="tx1"/>
                  </w14:solidFill>
                </w14:textFill>
              </w:rPr>
            </w:pPr>
          </w:p>
        </w:tc>
        <w:tc>
          <w:tcPr>
            <w:tcW w:w="1276" w:type="dxa"/>
            <w:vAlign w:val="center"/>
          </w:tcPr>
          <w:p w14:paraId="595029D7">
            <w:pPr>
              <w:ind w:left="223" w:hanging="222" w:hangingChars="106"/>
              <w:jc w:val="center"/>
              <w:rPr>
                <w:color w:val="000000" w:themeColor="text1"/>
                <w:szCs w:val="21"/>
                <w14:textFill>
                  <w14:solidFill>
                    <w14:schemeClr w14:val="tx1"/>
                  </w14:solidFill>
                </w14:textFill>
              </w:rPr>
            </w:pPr>
          </w:p>
        </w:tc>
      </w:tr>
      <w:tr w14:paraId="54E2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8BE642C">
            <w:pPr>
              <w:ind w:left="223" w:hanging="222" w:hangingChars="106"/>
              <w:jc w:val="center"/>
              <w:rPr>
                <w:color w:val="000000" w:themeColor="text1"/>
                <w:szCs w:val="21"/>
                <w14:textFill>
                  <w14:solidFill>
                    <w14:schemeClr w14:val="tx1"/>
                  </w14:solidFill>
                </w14:textFill>
              </w:rPr>
            </w:pPr>
          </w:p>
        </w:tc>
        <w:tc>
          <w:tcPr>
            <w:tcW w:w="670" w:type="dxa"/>
            <w:vAlign w:val="center"/>
          </w:tcPr>
          <w:p w14:paraId="5418548F">
            <w:pPr>
              <w:ind w:left="223" w:hanging="222" w:hangingChars="106"/>
              <w:jc w:val="center"/>
              <w:rPr>
                <w:color w:val="000000" w:themeColor="text1"/>
                <w:szCs w:val="21"/>
                <w14:textFill>
                  <w14:solidFill>
                    <w14:schemeClr w14:val="tx1"/>
                  </w14:solidFill>
                </w14:textFill>
              </w:rPr>
            </w:pPr>
          </w:p>
        </w:tc>
        <w:tc>
          <w:tcPr>
            <w:tcW w:w="829" w:type="dxa"/>
            <w:vAlign w:val="center"/>
          </w:tcPr>
          <w:p w14:paraId="642C7AD2">
            <w:pPr>
              <w:ind w:left="223" w:hanging="222" w:hangingChars="106"/>
              <w:jc w:val="center"/>
              <w:rPr>
                <w:color w:val="000000" w:themeColor="text1"/>
                <w:szCs w:val="21"/>
                <w14:textFill>
                  <w14:solidFill>
                    <w14:schemeClr w14:val="tx1"/>
                  </w14:solidFill>
                </w14:textFill>
              </w:rPr>
            </w:pPr>
          </w:p>
        </w:tc>
        <w:tc>
          <w:tcPr>
            <w:tcW w:w="816" w:type="dxa"/>
            <w:vAlign w:val="center"/>
          </w:tcPr>
          <w:p w14:paraId="0BB8CBA7">
            <w:pPr>
              <w:ind w:left="223" w:hanging="222" w:hangingChars="106"/>
              <w:jc w:val="center"/>
              <w:rPr>
                <w:color w:val="000000" w:themeColor="text1"/>
                <w:szCs w:val="21"/>
                <w14:textFill>
                  <w14:solidFill>
                    <w14:schemeClr w14:val="tx1"/>
                  </w14:solidFill>
                </w14:textFill>
              </w:rPr>
            </w:pPr>
          </w:p>
        </w:tc>
        <w:tc>
          <w:tcPr>
            <w:tcW w:w="1148" w:type="dxa"/>
            <w:vAlign w:val="center"/>
          </w:tcPr>
          <w:p w14:paraId="71157C9F">
            <w:pPr>
              <w:ind w:left="223" w:hanging="222" w:hangingChars="106"/>
              <w:jc w:val="center"/>
              <w:rPr>
                <w:color w:val="000000" w:themeColor="text1"/>
                <w:szCs w:val="21"/>
                <w14:textFill>
                  <w14:solidFill>
                    <w14:schemeClr w14:val="tx1"/>
                  </w14:solidFill>
                </w14:textFill>
              </w:rPr>
            </w:pPr>
          </w:p>
        </w:tc>
        <w:tc>
          <w:tcPr>
            <w:tcW w:w="1148" w:type="dxa"/>
            <w:vAlign w:val="center"/>
          </w:tcPr>
          <w:p w14:paraId="6239C500">
            <w:pPr>
              <w:ind w:left="223" w:hanging="222" w:hangingChars="106"/>
              <w:jc w:val="center"/>
              <w:rPr>
                <w:color w:val="000000" w:themeColor="text1"/>
                <w:szCs w:val="21"/>
                <w14:textFill>
                  <w14:solidFill>
                    <w14:schemeClr w14:val="tx1"/>
                  </w14:solidFill>
                </w14:textFill>
              </w:rPr>
            </w:pPr>
          </w:p>
        </w:tc>
        <w:tc>
          <w:tcPr>
            <w:tcW w:w="1148" w:type="dxa"/>
            <w:vAlign w:val="center"/>
          </w:tcPr>
          <w:p w14:paraId="095B763A">
            <w:pPr>
              <w:ind w:left="223" w:hanging="222" w:hangingChars="106"/>
              <w:jc w:val="center"/>
              <w:rPr>
                <w:color w:val="000000" w:themeColor="text1"/>
                <w:szCs w:val="21"/>
                <w14:textFill>
                  <w14:solidFill>
                    <w14:schemeClr w14:val="tx1"/>
                  </w14:solidFill>
                </w14:textFill>
              </w:rPr>
            </w:pPr>
          </w:p>
        </w:tc>
        <w:tc>
          <w:tcPr>
            <w:tcW w:w="744" w:type="dxa"/>
            <w:vAlign w:val="center"/>
          </w:tcPr>
          <w:p w14:paraId="483A7D88">
            <w:pPr>
              <w:ind w:left="223" w:hanging="222" w:hangingChars="106"/>
              <w:jc w:val="center"/>
              <w:rPr>
                <w:color w:val="000000" w:themeColor="text1"/>
                <w:szCs w:val="21"/>
                <w14:textFill>
                  <w14:solidFill>
                    <w14:schemeClr w14:val="tx1"/>
                  </w14:solidFill>
                </w14:textFill>
              </w:rPr>
            </w:pPr>
          </w:p>
        </w:tc>
        <w:tc>
          <w:tcPr>
            <w:tcW w:w="1167" w:type="dxa"/>
            <w:vAlign w:val="center"/>
          </w:tcPr>
          <w:p w14:paraId="1764F15C">
            <w:pPr>
              <w:ind w:left="223" w:hanging="222" w:hangingChars="106"/>
              <w:jc w:val="center"/>
              <w:rPr>
                <w:color w:val="000000" w:themeColor="text1"/>
                <w:szCs w:val="21"/>
                <w14:textFill>
                  <w14:solidFill>
                    <w14:schemeClr w14:val="tx1"/>
                  </w14:solidFill>
                </w14:textFill>
              </w:rPr>
            </w:pPr>
          </w:p>
        </w:tc>
        <w:tc>
          <w:tcPr>
            <w:tcW w:w="1276" w:type="dxa"/>
            <w:vAlign w:val="center"/>
          </w:tcPr>
          <w:p w14:paraId="1503C504">
            <w:pPr>
              <w:ind w:left="223" w:hanging="222" w:hangingChars="106"/>
              <w:jc w:val="center"/>
              <w:rPr>
                <w:color w:val="000000" w:themeColor="text1"/>
                <w:szCs w:val="21"/>
                <w14:textFill>
                  <w14:solidFill>
                    <w14:schemeClr w14:val="tx1"/>
                  </w14:solidFill>
                </w14:textFill>
              </w:rPr>
            </w:pPr>
          </w:p>
        </w:tc>
      </w:tr>
      <w:tr w14:paraId="334A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0D8069B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6100E277">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29BF9C31">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5B75A044">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6EB1DEE3">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D2B22F3">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444347A3">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63C01DFC">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34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5A68F8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6FF49EC3">
            <w:pPr>
              <w:jc w:val="center"/>
              <w:rPr>
                <w:color w:val="000000" w:themeColor="text1"/>
                <w14:textFill>
                  <w14:solidFill>
                    <w14:schemeClr w14:val="tx1"/>
                  </w14:solidFill>
                </w14:textFill>
              </w:rPr>
            </w:pPr>
          </w:p>
        </w:tc>
        <w:tc>
          <w:tcPr>
            <w:tcW w:w="1893" w:type="dxa"/>
            <w:gridSpan w:val="5"/>
            <w:vAlign w:val="center"/>
          </w:tcPr>
          <w:p w14:paraId="21B0135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86F594A">
            <w:pPr>
              <w:jc w:val="center"/>
              <w:rPr>
                <w:color w:val="000000" w:themeColor="text1"/>
                <w14:textFill>
                  <w14:solidFill>
                    <w14:schemeClr w14:val="tx1"/>
                  </w14:solidFill>
                </w14:textFill>
              </w:rPr>
            </w:pPr>
          </w:p>
        </w:tc>
        <w:tc>
          <w:tcPr>
            <w:tcW w:w="1108" w:type="dxa"/>
            <w:vAlign w:val="center"/>
          </w:tcPr>
          <w:p w14:paraId="56545EE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ABF4A3">
            <w:pPr>
              <w:jc w:val="center"/>
              <w:rPr>
                <w:color w:val="000000" w:themeColor="text1"/>
                <w14:textFill>
                  <w14:solidFill>
                    <w14:schemeClr w14:val="tx1"/>
                  </w14:solidFill>
                </w14:textFill>
              </w:rPr>
            </w:pPr>
          </w:p>
        </w:tc>
      </w:tr>
      <w:tr w14:paraId="4433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488733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5AB815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4DF37CA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6BD59B9">
            <w:pPr>
              <w:jc w:val="center"/>
              <w:rPr>
                <w:color w:val="000000" w:themeColor="text1"/>
                <w14:textFill>
                  <w14:solidFill>
                    <w14:schemeClr w14:val="tx1"/>
                  </w14:solidFill>
                </w14:textFill>
              </w:rPr>
            </w:pPr>
          </w:p>
        </w:tc>
        <w:tc>
          <w:tcPr>
            <w:tcW w:w="1108" w:type="dxa"/>
            <w:vAlign w:val="center"/>
          </w:tcPr>
          <w:p w14:paraId="2219FB7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344F9A">
            <w:pPr>
              <w:jc w:val="center"/>
              <w:rPr>
                <w:color w:val="000000" w:themeColor="text1"/>
                <w14:textFill>
                  <w14:solidFill>
                    <w14:schemeClr w14:val="tx1"/>
                  </w14:solidFill>
                </w14:textFill>
              </w:rPr>
            </w:pPr>
          </w:p>
        </w:tc>
      </w:tr>
      <w:tr w14:paraId="085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225447F">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0FB5F466">
            <w:pPr>
              <w:jc w:val="center"/>
              <w:rPr>
                <w:color w:val="000000" w:themeColor="text1"/>
                <w14:textFill>
                  <w14:solidFill>
                    <w14:schemeClr w14:val="tx1"/>
                  </w14:solidFill>
                </w14:textFill>
              </w:rPr>
            </w:pPr>
          </w:p>
        </w:tc>
        <w:tc>
          <w:tcPr>
            <w:tcW w:w="1893" w:type="dxa"/>
            <w:gridSpan w:val="5"/>
            <w:vAlign w:val="center"/>
          </w:tcPr>
          <w:p w14:paraId="415AFF40">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1B6BB564">
            <w:pPr>
              <w:jc w:val="center"/>
              <w:rPr>
                <w:color w:val="000000" w:themeColor="text1"/>
                <w14:textFill>
                  <w14:solidFill>
                    <w14:schemeClr w14:val="tx1"/>
                  </w14:solidFill>
                </w14:textFill>
              </w:rPr>
            </w:pPr>
          </w:p>
        </w:tc>
        <w:tc>
          <w:tcPr>
            <w:tcW w:w="1108" w:type="dxa"/>
            <w:vAlign w:val="center"/>
          </w:tcPr>
          <w:p w14:paraId="2E66079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15F33EFD">
            <w:pPr>
              <w:jc w:val="center"/>
              <w:rPr>
                <w:color w:val="000000" w:themeColor="text1"/>
                <w14:textFill>
                  <w14:solidFill>
                    <w14:schemeClr w14:val="tx1"/>
                  </w14:solidFill>
                </w14:textFill>
              </w:rPr>
            </w:pPr>
          </w:p>
        </w:tc>
      </w:tr>
      <w:tr w14:paraId="3020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87035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36BD649A">
            <w:pPr>
              <w:jc w:val="center"/>
              <w:rPr>
                <w:color w:val="000000" w:themeColor="text1"/>
                <w14:textFill>
                  <w14:solidFill>
                    <w14:schemeClr w14:val="tx1"/>
                  </w14:solidFill>
                </w14:textFill>
              </w:rPr>
            </w:pPr>
          </w:p>
        </w:tc>
        <w:tc>
          <w:tcPr>
            <w:tcW w:w="1209" w:type="dxa"/>
            <w:vAlign w:val="center"/>
          </w:tcPr>
          <w:p w14:paraId="4D8D4C6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08F74BF6">
            <w:pPr>
              <w:jc w:val="center"/>
              <w:rPr>
                <w:color w:val="000000" w:themeColor="text1"/>
                <w14:textFill>
                  <w14:solidFill>
                    <w14:schemeClr w14:val="tx1"/>
                  </w14:solidFill>
                </w14:textFill>
              </w:rPr>
            </w:pPr>
          </w:p>
        </w:tc>
      </w:tr>
      <w:tr w14:paraId="796C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B3141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36772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1AE34A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1DB9954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290703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7A0E57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074F7F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5C55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08358503">
            <w:pPr>
              <w:jc w:val="center"/>
              <w:rPr>
                <w:color w:val="000000" w:themeColor="text1"/>
                <w14:textFill>
                  <w14:solidFill>
                    <w14:schemeClr w14:val="tx1"/>
                  </w14:solidFill>
                </w14:textFill>
              </w:rPr>
            </w:pPr>
          </w:p>
        </w:tc>
        <w:tc>
          <w:tcPr>
            <w:tcW w:w="1275" w:type="dxa"/>
            <w:gridSpan w:val="2"/>
            <w:vAlign w:val="center"/>
          </w:tcPr>
          <w:p w14:paraId="763BBC05">
            <w:pPr>
              <w:jc w:val="center"/>
              <w:rPr>
                <w:color w:val="000000" w:themeColor="text1"/>
                <w14:textFill>
                  <w14:solidFill>
                    <w14:schemeClr w14:val="tx1"/>
                  </w14:solidFill>
                </w14:textFill>
              </w:rPr>
            </w:pPr>
          </w:p>
        </w:tc>
        <w:tc>
          <w:tcPr>
            <w:tcW w:w="1222" w:type="dxa"/>
            <w:gridSpan w:val="3"/>
            <w:vAlign w:val="center"/>
          </w:tcPr>
          <w:p w14:paraId="4B172EE4">
            <w:pPr>
              <w:jc w:val="center"/>
              <w:rPr>
                <w:rFonts w:cs="宋体"/>
                <w:color w:val="000000" w:themeColor="text1"/>
                <w14:textFill>
                  <w14:solidFill>
                    <w14:schemeClr w14:val="tx1"/>
                  </w14:solidFill>
                </w14:textFill>
              </w:rPr>
            </w:pPr>
          </w:p>
        </w:tc>
        <w:tc>
          <w:tcPr>
            <w:tcW w:w="1417" w:type="dxa"/>
            <w:gridSpan w:val="3"/>
            <w:vAlign w:val="center"/>
          </w:tcPr>
          <w:p w14:paraId="2242DF3B">
            <w:pPr>
              <w:jc w:val="center"/>
              <w:rPr>
                <w:color w:val="000000" w:themeColor="text1"/>
                <w14:textFill>
                  <w14:solidFill>
                    <w14:schemeClr w14:val="tx1"/>
                  </w14:solidFill>
                </w14:textFill>
              </w:rPr>
            </w:pPr>
          </w:p>
        </w:tc>
        <w:tc>
          <w:tcPr>
            <w:tcW w:w="1418" w:type="dxa"/>
            <w:gridSpan w:val="3"/>
            <w:vAlign w:val="center"/>
          </w:tcPr>
          <w:p w14:paraId="33261F54">
            <w:pPr>
              <w:jc w:val="center"/>
              <w:rPr>
                <w:color w:val="000000" w:themeColor="text1"/>
                <w14:textFill>
                  <w14:solidFill>
                    <w14:schemeClr w14:val="tx1"/>
                  </w14:solidFill>
                </w14:textFill>
              </w:rPr>
            </w:pPr>
          </w:p>
        </w:tc>
        <w:tc>
          <w:tcPr>
            <w:tcW w:w="1632" w:type="dxa"/>
            <w:gridSpan w:val="4"/>
            <w:vAlign w:val="center"/>
          </w:tcPr>
          <w:p w14:paraId="2CFD6CEB">
            <w:pPr>
              <w:jc w:val="center"/>
              <w:rPr>
                <w:color w:val="000000" w:themeColor="text1"/>
                <w14:textFill>
                  <w14:solidFill>
                    <w14:schemeClr w14:val="tx1"/>
                  </w14:solidFill>
                </w14:textFill>
              </w:rPr>
            </w:pPr>
          </w:p>
        </w:tc>
        <w:tc>
          <w:tcPr>
            <w:tcW w:w="1416" w:type="dxa"/>
            <w:gridSpan w:val="2"/>
            <w:vAlign w:val="center"/>
          </w:tcPr>
          <w:p w14:paraId="6E4B6673">
            <w:pPr>
              <w:jc w:val="center"/>
              <w:rPr>
                <w:color w:val="000000" w:themeColor="text1"/>
                <w14:textFill>
                  <w14:solidFill>
                    <w14:schemeClr w14:val="tx1"/>
                  </w14:solidFill>
                </w14:textFill>
              </w:rPr>
            </w:pPr>
          </w:p>
        </w:tc>
      </w:tr>
      <w:tr w14:paraId="0FA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9044B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316D4FBE">
            <w:pPr>
              <w:jc w:val="center"/>
              <w:rPr>
                <w:color w:val="000000" w:themeColor="text1"/>
                <w14:textFill>
                  <w14:solidFill>
                    <w14:schemeClr w14:val="tx1"/>
                  </w14:solidFill>
                </w14:textFill>
              </w:rPr>
            </w:pPr>
          </w:p>
        </w:tc>
        <w:tc>
          <w:tcPr>
            <w:tcW w:w="1222" w:type="dxa"/>
            <w:gridSpan w:val="3"/>
            <w:vAlign w:val="center"/>
          </w:tcPr>
          <w:p w14:paraId="52EF2064">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166032F5">
            <w:pPr>
              <w:jc w:val="center"/>
              <w:rPr>
                <w:color w:val="000000" w:themeColor="text1"/>
                <w14:textFill>
                  <w14:solidFill>
                    <w14:schemeClr w14:val="tx1"/>
                  </w14:solidFill>
                </w14:textFill>
              </w:rPr>
            </w:pPr>
          </w:p>
        </w:tc>
        <w:tc>
          <w:tcPr>
            <w:tcW w:w="1418" w:type="dxa"/>
            <w:gridSpan w:val="3"/>
            <w:vAlign w:val="center"/>
          </w:tcPr>
          <w:p w14:paraId="63BEF53C">
            <w:pPr>
              <w:jc w:val="center"/>
              <w:rPr>
                <w:color w:val="000000" w:themeColor="text1"/>
                <w14:textFill>
                  <w14:solidFill>
                    <w14:schemeClr w14:val="tx1"/>
                  </w14:solidFill>
                </w14:textFill>
              </w:rPr>
            </w:pPr>
          </w:p>
        </w:tc>
        <w:tc>
          <w:tcPr>
            <w:tcW w:w="1632" w:type="dxa"/>
            <w:gridSpan w:val="4"/>
            <w:vAlign w:val="center"/>
          </w:tcPr>
          <w:p w14:paraId="1701AA50">
            <w:pPr>
              <w:jc w:val="center"/>
              <w:rPr>
                <w:color w:val="000000" w:themeColor="text1"/>
                <w14:textFill>
                  <w14:solidFill>
                    <w14:schemeClr w14:val="tx1"/>
                  </w14:solidFill>
                </w14:textFill>
              </w:rPr>
            </w:pPr>
          </w:p>
        </w:tc>
        <w:tc>
          <w:tcPr>
            <w:tcW w:w="1416" w:type="dxa"/>
            <w:gridSpan w:val="2"/>
            <w:vAlign w:val="center"/>
          </w:tcPr>
          <w:p w14:paraId="463E0C55">
            <w:pPr>
              <w:jc w:val="center"/>
              <w:rPr>
                <w:color w:val="000000" w:themeColor="text1"/>
                <w14:textFill>
                  <w14:solidFill>
                    <w14:schemeClr w14:val="tx1"/>
                  </w14:solidFill>
                </w14:textFill>
              </w:rPr>
            </w:pPr>
          </w:p>
        </w:tc>
      </w:tr>
      <w:tr w14:paraId="6B98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001A00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11D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590CB17D">
            <w:pPr>
              <w:jc w:val="center"/>
              <w:rPr>
                <w:color w:val="000000" w:themeColor="text1"/>
                <w14:textFill>
                  <w14:solidFill>
                    <w14:schemeClr w14:val="tx1"/>
                  </w14:solidFill>
                </w14:textFill>
              </w:rPr>
            </w:pPr>
          </w:p>
        </w:tc>
        <w:tc>
          <w:tcPr>
            <w:tcW w:w="1548" w:type="dxa"/>
            <w:gridSpan w:val="2"/>
            <w:vAlign w:val="center"/>
          </w:tcPr>
          <w:p w14:paraId="1E77A4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69443D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5FAEBD3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2DB07F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3BA69A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7E1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6BFA5DD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7C920E7E">
            <w:pPr>
              <w:jc w:val="center"/>
              <w:rPr>
                <w:color w:val="000000" w:themeColor="text1"/>
                <w14:textFill>
                  <w14:solidFill>
                    <w14:schemeClr w14:val="tx1"/>
                  </w14:solidFill>
                </w14:textFill>
              </w:rPr>
            </w:pPr>
          </w:p>
        </w:tc>
        <w:tc>
          <w:tcPr>
            <w:tcW w:w="1837" w:type="dxa"/>
            <w:gridSpan w:val="4"/>
            <w:vAlign w:val="center"/>
          </w:tcPr>
          <w:p w14:paraId="3403DD47">
            <w:pPr>
              <w:jc w:val="center"/>
              <w:rPr>
                <w:color w:val="000000" w:themeColor="text1"/>
                <w14:textFill>
                  <w14:solidFill>
                    <w14:schemeClr w14:val="tx1"/>
                  </w14:solidFill>
                </w14:textFill>
              </w:rPr>
            </w:pPr>
          </w:p>
        </w:tc>
        <w:tc>
          <w:tcPr>
            <w:tcW w:w="1472" w:type="dxa"/>
            <w:gridSpan w:val="3"/>
            <w:vAlign w:val="center"/>
          </w:tcPr>
          <w:p w14:paraId="27F9E6E1">
            <w:pPr>
              <w:jc w:val="center"/>
              <w:rPr>
                <w:color w:val="000000" w:themeColor="text1"/>
                <w14:textFill>
                  <w14:solidFill>
                    <w14:schemeClr w14:val="tx1"/>
                  </w14:solidFill>
                </w14:textFill>
              </w:rPr>
            </w:pPr>
          </w:p>
        </w:tc>
        <w:tc>
          <w:tcPr>
            <w:tcW w:w="1641" w:type="dxa"/>
            <w:gridSpan w:val="4"/>
            <w:vAlign w:val="center"/>
          </w:tcPr>
          <w:p w14:paraId="30705CF0">
            <w:pPr>
              <w:jc w:val="center"/>
              <w:rPr>
                <w:color w:val="000000" w:themeColor="text1"/>
                <w14:textFill>
                  <w14:solidFill>
                    <w14:schemeClr w14:val="tx1"/>
                  </w14:solidFill>
                </w14:textFill>
              </w:rPr>
            </w:pPr>
          </w:p>
        </w:tc>
        <w:tc>
          <w:tcPr>
            <w:tcW w:w="1484" w:type="dxa"/>
            <w:gridSpan w:val="2"/>
            <w:vAlign w:val="center"/>
          </w:tcPr>
          <w:p w14:paraId="717AF0BD">
            <w:pPr>
              <w:jc w:val="center"/>
              <w:rPr>
                <w:color w:val="000000" w:themeColor="text1"/>
                <w14:textFill>
                  <w14:solidFill>
                    <w14:schemeClr w14:val="tx1"/>
                  </w14:solidFill>
                </w14:textFill>
              </w:rPr>
            </w:pPr>
          </w:p>
        </w:tc>
      </w:tr>
      <w:tr w14:paraId="745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61582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3033B534">
            <w:pPr>
              <w:jc w:val="center"/>
              <w:rPr>
                <w:color w:val="000000" w:themeColor="text1"/>
                <w14:textFill>
                  <w14:solidFill>
                    <w14:schemeClr w14:val="tx1"/>
                  </w14:solidFill>
                </w14:textFill>
              </w:rPr>
            </w:pPr>
          </w:p>
        </w:tc>
        <w:tc>
          <w:tcPr>
            <w:tcW w:w="1837" w:type="dxa"/>
            <w:gridSpan w:val="4"/>
            <w:vAlign w:val="center"/>
          </w:tcPr>
          <w:p w14:paraId="3D3EB17F">
            <w:pPr>
              <w:jc w:val="center"/>
              <w:rPr>
                <w:color w:val="000000" w:themeColor="text1"/>
                <w14:textFill>
                  <w14:solidFill>
                    <w14:schemeClr w14:val="tx1"/>
                  </w14:solidFill>
                </w14:textFill>
              </w:rPr>
            </w:pPr>
          </w:p>
        </w:tc>
        <w:tc>
          <w:tcPr>
            <w:tcW w:w="1472" w:type="dxa"/>
            <w:gridSpan w:val="3"/>
            <w:vAlign w:val="center"/>
          </w:tcPr>
          <w:p w14:paraId="50220588">
            <w:pPr>
              <w:jc w:val="center"/>
              <w:rPr>
                <w:color w:val="000000" w:themeColor="text1"/>
                <w14:textFill>
                  <w14:solidFill>
                    <w14:schemeClr w14:val="tx1"/>
                  </w14:solidFill>
                </w14:textFill>
              </w:rPr>
            </w:pPr>
          </w:p>
        </w:tc>
        <w:tc>
          <w:tcPr>
            <w:tcW w:w="1641" w:type="dxa"/>
            <w:gridSpan w:val="4"/>
            <w:vAlign w:val="center"/>
          </w:tcPr>
          <w:p w14:paraId="0E51F4B5">
            <w:pPr>
              <w:jc w:val="center"/>
              <w:rPr>
                <w:color w:val="000000" w:themeColor="text1"/>
                <w14:textFill>
                  <w14:solidFill>
                    <w14:schemeClr w14:val="tx1"/>
                  </w14:solidFill>
                </w14:textFill>
              </w:rPr>
            </w:pPr>
          </w:p>
        </w:tc>
        <w:tc>
          <w:tcPr>
            <w:tcW w:w="1484" w:type="dxa"/>
            <w:gridSpan w:val="2"/>
            <w:vAlign w:val="center"/>
          </w:tcPr>
          <w:p w14:paraId="29D65CEE">
            <w:pPr>
              <w:jc w:val="center"/>
              <w:rPr>
                <w:color w:val="000000" w:themeColor="text1"/>
                <w14:textFill>
                  <w14:solidFill>
                    <w14:schemeClr w14:val="tx1"/>
                  </w14:solidFill>
                </w14:textFill>
              </w:rPr>
            </w:pPr>
          </w:p>
        </w:tc>
      </w:tr>
      <w:tr w14:paraId="66D1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13800F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3458F83">
            <w:pPr>
              <w:jc w:val="center"/>
              <w:rPr>
                <w:color w:val="000000" w:themeColor="text1"/>
                <w14:textFill>
                  <w14:solidFill>
                    <w14:schemeClr w14:val="tx1"/>
                  </w14:solidFill>
                </w14:textFill>
              </w:rPr>
            </w:pPr>
          </w:p>
        </w:tc>
        <w:tc>
          <w:tcPr>
            <w:tcW w:w="1837" w:type="dxa"/>
            <w:gridSpan w:val="4"/>
            <w:vAlign w:val="center"/>
          </w:tcPr>
          <w:p w14:paraId="05249B74">
            <w:pPr>
              <w:jc w:val="center"/>
              <w:rPr>
                <w:color w:val="000000" w:themeColor="text1"/>
                <w14:textFill>
                  <w14:solidFill>
                    <w14:schemeClr w14:val="tx1"/>
                  </w14:solidFill>
                </w14:textFill>
              </w:rPr>
            </w:pPr>
          </w:p>
        </w:tc>
        <w:tc>
          <w:tcPr>
            <w:tcW w:w="1472" w:type="dxa"/>
            <w:gridSpan w:val="3"/>
            <w:vAlign w:val="center"/>
          </w:tcPr>
          <w:p w14:paraId="5DB6D0A3">
            <w:pPr>
              <w:jc w:val="center"/>
              <w:rPr>
                <w:color w:val="000000" w:themeColor="text1"/>
                <w14:textFill>
                  <w14:solidFill>
                    <w14:schemeClr w14:val="tx1"/>
                  </w14:solidFill>
                </w14:textFill>
              </w:rPr>
            </w:pPr>
          </w:p>
        </w:tc>
        <w:tc>
          <w:tcPr>
            <w:tcW w:w="1641" w:type="dxa"/>
            <w:gridSpan w:val="4"/>
            <w:vAlign w:val="center"/>
          </w:tcPr>
          <w:p w14:paraId="422F9C4F">
            <w:pPr>
              <w:jc w:val="center"/>
              <w:rPr>
                <w:color w:val="000000" w:themeColor="text1"/>
                <w14:textFill>
                  <w14:solidFill>
                    <w14:schemeClr w14:val="tx1"/>
                  </w14:solidFill>
                </w14:textFill>
              </w:rPr>
            </w:pPr>
          </w:p>
        </w:tc>
        <w:tc>
          <w:tcPr>
            <w:tcW w:w="1484" w:type="dxa"/>
            <w:gridSpan w:val="2"/>
            <w:vAlign w:val="center"/>
          </w:tcPr>
          <w:p w14:paraId="10223E72">
            <w:pPr>
              <w:jc w:val="center"/>
              <w:rPr>
                <w:color w:val="000000" w:themeColor="text1"/>
                <w14:textFill>
                  <w14:solidFill>
                    <w14:schemeClr w14:val="tx1"/>
                  </w14:solidFill>
                </w14:textFill>
              </w:rPr>
            </w:pPr>
          </w:p>
        </w:tc>
      </w:tr>
      <w:tr w14:paraId="74F4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D7946BA">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7646C45A">
            <w:pPr>
              <w:jc w:val="center"/>
              <w:rPr>
                <w:color w:val="000000" w:themeColor="text1"/>
                <w14:textFill>
                  <w14:solidFill>
                    <w14:schemeClr w14:val="tx1"/>
                  </w14:solidFill>
                </w14:textFill>
              </w:rPr>
            </w:pPr>
          </w:p>
        </w:tc>
        <w:tc>
          <w:tcPr>
            <w:tcW w:w="1837" w:type="dxa"/>
            <w:gridSpan w:val="4"/>
            <w:vAlign w:val="center"/>
          </w:tcPr>
          <w:p w14:paraId="08BBC262">
            <w:pPr>
              <w:jc w:val="center"/>
              <w:rPr>
                <w:color w:val="000000" w:themeColor="text1"/>
                <w14:textFill>
                  <w14:solidFill>
                    <w14:schemeClr w14:val="tx1"/>
                  </w14:solidFill>
                </w14:textFill>
              </w:rPr>
            </w:pPr>
          </w:p>
        </w:tc>
        <w:tc>
          <w:tcPr>
            <w:tcW w:w="1472" w:type="dxa"/>
            <w:gridSpan w:val="3"/>
            <w:vAlign w:val="center"/>
          </w:tcPr>
          <w:p w14:paraId="5E96533A">
            <w:pPr>
              <w:jc w:val="center"/>
              <w:rPr>
                <w:color w:val="000000" w:themeColor="text1"/>
                <w14:textFill>
                  <w14:solidFill>
                    <w14:schemeClr w14:val="tx1"/>
                  </w14:solidFill>
                </w14:textFill>
              </w:rPr>
            </w:pPr>
          </w:p>
        </w:tc>
        <w:tc>
          <w:tcPr>
            <w:tcW w:w="1641" w:type="dxa"/>
            <w:gridSpan w:val="4"/>
            <w:vAlign w:val="center"/>
          </w:tcPr>
          <w:p w14:paraId="798211D8">
            <w:pPr>
              <w:jc w:val="center"/>
              <w:rPr>
                <w:color w:val="000000" w:themeColor="text1"/>
                <w14:textFill>
                  <w14:solidFill>
                    <w14:schemeClr w14:val="tx1"/>
                  </w14:solidFill>
                </w14:textFill>
              </w:rPr>
            </w:pPr>
          </w:p>
        </w:tc>
        <w:tc>
          <w:tcPr>
            <w:tcW w:w="1484" w:type="dxa"/>
            <w:gridSpan w:val="2"/>
            <w:vAlign w:val="center"/>
          </w:tcPr>
          <w:p w14:paraId="5A9E5C0B">
            <w:pPr>
              <w:jc w:val="center"/>
              <w:rPr>
                <w:color w:val="000000" w:themeColor="text1"/>
                <w14:textFill>
                  <w14:solidFill>
                    <w14:schemeClr w14:val="tx1"/>
                  </w14:solidFill>
                </w14:textFill>
              </w:rPr>
            </w:pPr>
          </w:p>
        </w:tc>
      </w:tr>
      <w:tr w14:paraId="4335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53CD4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FB31E8F">
            <w:pPr>
              <w:jc w:val="center"/>
              <w:rPr>
                <w:color w:val="000000" w:themeColor="text1"/>
                <w14:textFill>
                  <w14:solidFill>
                    <w14:schemeClr w14:val="tx1"/>
                  </w14:solidFill>
                </w14:textFill>
              </w:rPr>
            </w:pPr>
          </w:p>
        </w:tc>
        <w:tc>
          <w:tcPr>
            <w:tcW w:w="1837" w:type="dxa"/>
            <w:gridSpan w:val="4"/>
            <w:vAlign w:val="center"/>
          </w:tcPr>
          <w:p w14:paraId="1F6475D1">
            <w:pPr>
              <w:jc w:val="center"/>
              <w:rPr>
                <w:color w:val="000000" w:themeColor="text1"/>
                <w14:textFill>
                  <w14:solidFill>
                    <w14:schemeClr w14:val="tx1"/>
                  </w14:solidFill>
                </w14:textFill>
              </w:rPr>
            </w:pPr>
          </w:p>
        </w:tc>
        <w:tc>
          <w:tcPr>
            <w:tcW w:w="1472" w:type="dxa"/>
            <w:gridSpan w:val="3"/>
            <w:vAlign w:val="center"/>
          </w:tcPr>
          <w:p w14:paraId="6DAE896D">
            <w:pPr>
              <w:jc w:val="center"/>
              <w:rPr>
                <w:color w:val="000000" w:themeColor="text1"/>
                <w14:textFill>
                  <w14:solidFill>
                    <w14:schemeClr w14:val="tx1"/>
                  </w14:solidFill>
                </w14:textFill>
              </w:rPr>
            </w:pPr>
          </w:p>
        </w:tc>
        <w:tc>
          <w:tcPr>
            <w:tcW w:w="1641" w:type="dxa"/>
            <w:gridSpan w:val="4"/>
            <w:vAlign w:val="center"/>
          </w:tcPr>
          <w:p w14:paraId="725D4C69">
            <w:pPr>
              <w:jc w:val="center"/>
              <w:rPr>
                <w:color w:val="000000" w:themeColor="text1"/>
                <w14:textFill>
                  <w14:solidFill>
                    <w14:schemeClr w14:val="tx1"/>
                  </w14:solidFill>
                </w14:textFill>
              </w:rPr>
            </w:pPr>
          </w:p>
        </w:tc>
        <w:tc>
          <w:tcPr>
            <w:tcW w:w="1484" w:type="dxa"/>
            <w:gridSpan w:val="2"/>
            <w:vAlign w:val="center"/>
          </w:tcPr>
          <w:p w14:paraId="18C357B6">
            <w:pPr>
              <w:jc w:val="center"/>
              <w:rPr>
                <w:color w:val="000000" w:themeColor="text1"/>
                <w14:textFill>
                  <w14:solidFill>
                    <w14:schemeClr w14:val="tx1"/>
                  </w14:solidFill>
                </w14:textFill>
              </w:rPr>
            </w:pPr>
          </w:p>
        </w:tc>
      </w:tr>
      <w:tr w14:paraId="29E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92A8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DEE32EA">
            <w:pPr>
              <w:jc w:val="center"/>
              <w:rPr>
                <w:color w:val="000000" w:themeColor="text1"/>
                <w14:textFill>
                  <w14:solidFill>
                    <w14:schemeClr w14:val="tx1"/>
                  </w14:solidFill>
                </w14:textFill>
              </w:rPr>
            </w:pPr>
          </w:p>
        </w:tc>
        <w:tc>
          <w:tcPr>
            <w:tcW w:w="1837" w:type="dxa"/>
            <w:gridSpan w:val="4"/>
            <w:vAlign w:val="center"/>
          </w:tcPr>
          <w:p w14:paraId="04DB4994">
            <w:pPr>
              <w:jc w:val="center"/>
              <w:rPr>
                <w:color w:val="000000" w:themeColor="text1"/>
                <w14:textFill>
                  <w14:solidFill>
                    <w14:schemeClr w14:val="tx1"/>
                  </w14:solidFill>
                </w14:textFill>
              </w:rPr>
            </w:pPr>
          </w:p>
        </w:tc>
        <w:tc>
          <w:tcPr>
            <w:tcW w:w="1472" w:type="dxa"/>
            <w:gridSpan w:val="3"/>
            <w:vAlign w:val="center"/>
          </w:tcPr>
          <w:p w14:paraId="40B92EBE">
            <w:pPr>
              <w:jc w:val="center"/>
              <w:rPr>
                <w:color w:val="000000" w:themeColor="text1"/>
                <w14:textFill>
                  <w14:solidFill>
                    <w14:schemeClr w14:val="tx1"/>
                  </w14:solidFill>
                </w14:textFill>
              </w:rPr>
            </w:pPr>
          </w:p>
        </w:tc>
        <w:tc>
          <w:tcPr>
            <w:tcW w:w="1641" w:type="dxa"/>
            <w:gridSpan w:val="4"/>
            <w:vAlign w:val="center"/>
          </w:tcPr>
          <w:p w14:paraId="4B28917E">
            <w:pPr>
              <w:jc w:val="center"/>
              <w:rPr>
                <w:color w:val="000000" w:themeColor="text1"/>
                <w14:textFill>
                  <w14:solidFill>
                    <w14:schemeClr w14:val="tx1"/>
                  </w14:solidFill>
                </w14:textFill>
              </w:rPr>
            </w:pPr>
          </w:p>
        </w:tc>
        <w:tc>
          <w:tcPr>
            <w:tcW w:w="1484" w:type="dxa"/>
            <w:gridSpan w:val="2"/>
            <w:vAlign w:val="center"/>
          </w:tcPr>
          <w:p w14:paraId="0CC016C4">
            <w:pPr>
              <w:jc w:val="center"/>
              <w:rPr>
                <w:color w:val="000000" w:themeColor="text1"/>
                <w14:textFill>
                  <w14:solidFill>
                    <w14:schemeClr w14:val="tx1"/>
                  </w14:solidFill>
                </w14:textFill>
              </w:rPr>
            </w:pPr>
          </w:p>
        </w:tc>
      </w:tr>
      <w:tr w14:paraId="429C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095D92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7F7C776">
            <w:pPr>
              <w:jc w:val="center"/>
              <w:rPr>
                <w:color w:val="000000" w:themeColor="text1"/>
                <w14:textFill>
                  <w14:solidFill>
                    <w14:schemeClr w14:val="tx1"/>
                  </w14:solidFill>
                </w14:textFill>
              </w:rPr>
            </w:pPr>
          </w:p>
        </w:tc>
        <w:tc>
          <w:tcPr>
            <w:tcW w:w="1837" w:type="dxa"/>
            <w:gridSpan w:val="4"/>
            <w:vAlign w:val="center"/>
          </w:tcPr>
          <w:p w14:paraId="687F8B8E">
            <w:pPr>
              <w:jc w:val="center"/>
              <w:rPr>
                <w:color w:val="000000" w:themeColor="text1"/>
                <w14:textFill>
                  <w14:solidFill>
                    <w14:schemeClr w14:val="tx1"/>
                  </w14:solidFill>
                </w14:textFill>
              </w:rPr>
            </w:pPr>
          </w:p>
        </w:tc>
        <w:tc>
          <w:tcPr>
            <w:tcW w:w="1472" w:type="dxa"/>
            <w:gridSpan w:val="3"/>
            <w:vAlign w:val="center"/>
          </w:tcPr>
          <w:p w14:paraId="610712B9">
            <w:pPr>
              <w:jc w:val="center"/>
              <w:rPr>
                <w:color w:val="000000" w:themeColor="text1"/>
                <w14:textFill>
                  <w14:solidFill>
                    <w14:schemeClr w14:val="tx1"/>
                  </w14:solidFill>
                </w14:textFill>
              </w:rPr>
            </w:pPr>
          </w:p>
        </w:tc>
        <w:tc>
          <w:tcPr>
            <w:tcW w:w="1641" w:type="dxa"/>
            <w:gridSpan w:val="4"/>
            <w:vAlign w:val="center"/>
          </w:tcPr>
          <w:p w14:paraId="305E0930">
            <w:pPr>
              <w:jc w:val="center"/>
              <w:rPr>
                <w:color w:val="000000" w:themeColor="text1"/>
                <w14:textFill>
                  <w14:solidFill>
                    <w14:schemeClr w14:val="tx1"/>
                  </w14:solidFill>
                </w14:textFill>
              </w:rPr>
            </w:pPr>
          </w:p>
        </w:tc>
        <w:tc>
          <w:tcPr>
            <w:tcW w:w="1484" w:type="dxa"/>
            <w:gridSpan w:val="2"/>
            <w:vAlign w:val="center"/>
          </w:tcPr>
          <w:p w14:paraId="582E6953">
            <w:pPr>
              <w:jc w:val="center"/>
              <w:rPr>
                <w:color w:val="000000" w:themeColor="text1"/>
                <w14:textFill>
                  <w14:solidFill>
                    <w14:schemeClr w14:val="tx1"/>
                  </w14:solidFill>
                </w14:textFill>
              </w:rPr>
            </w:pPr>
          </w:p>
        </w:tc>
      </w:tr>
      <w:tr w14:paraId="6C8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C084CA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ED5EB8B">
            <w:pPr>
              <w:jc w:val="center"/>
              <w:rPr>
                <w:color w:val="000000" w:themeColor="text1"/>
                <w14:textFill>
                  <w14:solidFill>
                    <w14:schemeClr w14:val="tx1"/>
                  </w14:solidFill>
                </w14:textFill>
              </w:rPr>
            </w:pPr>
          </w:p>
        </w:tc>
        <w:tc>
          <w:tcPr>
            <w:tcW w:w="1837" w:type="dxa"/>
            <w:gridSpan w:val="4"/>
            <w:vAlign w:val="center"/>
          </w:tcPr>
          <w:p w14:paraId="7E845B42">
            <w:pPr>
              <w:jc w:val="center"/>
              <w:rPr>
                <w:color w:val="000000" w:themeColor="text1"/>
                <w14:textFill>
                  <w14:solidFill>
                    <w14:schemeClr w14:val="tx1"/>
                  </w14:solidFill>
                </w14:textFill>
              </w:rPr>
            </w:pPr>
          </w:p>
        </w:tc>
        <w:tc>
          <w:tcPr>
            <w:tcW w:w="1472" w:type="dxa"/>
            <w:gridSpan w:val="3"/>
            <w:vAlign w:val="center"/>
          </w:tcPr>
          <w:p w14:paraId="3EB4AF30">
            <w:pPr>
              <w:jc w:val="center"/>
              <w:rPr>
                <w:color w:val="000000" w:themeColor="text1"/>
                <w14:textFill>
                  <w14:solidFill>
                    <w14:schemeClr w14:val="tx1"/>
                  </w14:solidFill>
                </w14:textFill>
              </w:rPr>
            </w:pPr>
          </w:p>
        </w:tc>
        <w:tc>
          <w:tcPr>
            <w:tcW w:w="1641" w:type="dxa"/>
            <w:gridSpan w:val="4"/>
            <w:vAlign w:val="center"/>
          </w:tcPr>
          <w:p w14:paraId="1633020F">
            <w:pPr>
              <w:jc w:val="center"/>
              <w:rPr>
                <w:color w:val="000000" w:themeColor="text1"/>
                <w14:textFill>
                  <w14:solidFill>
                    <w14:schemeClr w14:val="tx1"/>
                  </w14:solidFill>
                </w14:textFill>
              </w:rPr>
            </w:pPr>
          </w:p>
        </w:tc>
        <w:tc>
          <w:tcPr>
            <w:tcW w:w="1484" w:type="dxa"/>
            <w:gridSpan w:val="2"/>
            <w:vAlign w:val="center"/>
          </w:tcPr>
          <w:p w14:paraId="44F2C690">
            <w:pPr>
              <w:jc w:val="center"/>
              <w:rPr>
                <w:color w:val="000000" w:themeColor="text1"/>
                <w14:textFill>
                  <w14:solidFill>
                    <w14:schemeClr w14:val="tx1"/>
                  </w14:solidFill>
                </w14:textFill>
              </w:rPr>
            </w:pPr>
          </w:p>
        </w:tc>
      </w:tr>
      <w:tr w14:paraId="063F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4FBD36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5E836CF4">
            <w:pPr>
              <w:jc w:val="center"/>
              <w:rPr>
                <w:color w:val="000000" w:themeColor="text1"/>
                <w14:textFill>
                  <w14:solidFill>
                    <w14:schemeClr w14:val="tx1"/>
                  </w14:solidFill>
                </w14:textFill>
              </w:rPr>
            </w:pPr>
          </w:p>
        </w:tc>
        <w:tc>
          <w:tcPr>
            <w:tcW w:w="1837" w:type="dxa"/>
            <w:gridSpan w:val="4"/>
            <w:vAlign w:val="center"/>
          </w:tcPr>
          <w:p w14:paraId="17AEA422">
            <w:pPr>
              <w:jc w:val="center"/>
              <w:rPr>
                <w:color w:val="000000" w:themeColor="text1"/>
                <w14:textFill>
                  <w14:solidFill>
                    <w14:schemeClr w14:val="tx1"/>
                  </w14:solidFill>
                </w14:textFill>
              </w:rPr>
            </w:pPr>
          </w:p>
        </w:tc>
        <w:tc>
          <w:tcPr>
            <w:tcW w:w="1472" w:type="dxa"/>
            <w:gridSpan w:val="3"/>
            <w:vAlign w:val="center"/>
          </w:tcPr>
          <w:p w14:paraId="16C8BFD9">
            <w:pPr>
              <w:jc w:val="center"/>
              <w:rPr>
                <w:color w:val="000000" w:themeColor="text1"/>
                <w14:textFill>
                  <w14:solidFill>
                    <w14:schemeClr w14:val="tx1"/>
                  </w14:solidFill>
                </w14:textFill>
              </w:rPr>
            </w:pPr>
          </w:p>
        </w:tc>
        <w:tc>
          <w:tcPr>
            <w:tcW w:w="1641" w:type="dxa"/>
            <w:gridSpan w:val="4"/>
            <w:vAlign w:val="center"/>
          </w:tcPr>
          <w:p w14:paraId="36C081D0">
            <w:pPr>
              <w:jc w:val="center"/>
              <w:rPr>
                <w:color w:val="000000" w:themeColor="text1"/>
                <w14:textFill>
                  <w14:solidFill>
                    <w14:schemeClr w14:val="tx1"/>
                  </w14:solidFill>
                </w14:textFill>
              </w:rPr>
            </w:pPr>
          </w:p>
        </w:tc>
        <w:tc>
          <w:tcPr>
            <w:tcW w:w="1484" w:type="dxa"/>
            <w:gridSpan w:val="2"/>
            <w:vAlign w:val="center"/>
          </w:tcPr>
          <w:p w14:paraId="758C6821">
            <w:pPr>
              <w:jc w:val="center"/>
              <w:rPr>
                <w:color w:val="000000" w:themeColor="text1"/>
                <w14:textFill>
                  <w14:solidFill>
                    <w14:schemeClr w14:val="tx1"/>
                  </w14:solidFill>
                </w14:textFill>
              </w:rPr>
            </w:pPr>
          </w:p>
        </w:tc>
      </w:tr>
    </w:tbl>
    <w:p w14:paraId="3B2456AF">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4F497E92">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7494F864">
      <w:pPr>
        <w:spacing w:line="360" w:lineRule="auto"/>
        <w:ind w:firstLine="420" w:firstLineChars="200"/>
        <w:rPr>
          <w:rFonts w:ascii="宋体"/>
          <w:color w:val="auto"/>
          <w:szCs w:val="21"/>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w:t>
      </w:r>
      <w:r>
        <w:rPr>
          <w:rFonts w:hint="eastAsia" w:ascii="宋体" w:hAnsi="宋体"/>
          <w:color w:val="auto"/>
          <w:szCs w:val="21"/>
        </w:rPr>
        <w:t>项目经理的学历证、安全生产考核合格证（</w:t>
      </w:r>
      <w:r>
        <w:rPr>
          <w:rFonts w:ascii="宋体" w:hAnsi="宋体"/>
          <w:color w:val="auto"/>
          <w:szCs w:val="21"/>
        </w:rPr>
        <w:t>B</w:t>
      </w:r>
      <w:r>
        <w:rPr>
          <w:rFonts w:hint="eastAsia" w:ascii="宋体" w:hAnsi="宋体"/>
          <w:color w:val="auto"/>
          <w:szCs w:val="21"/>
        </w:rPr>
        <w:t>类）、本表所列证书复印件并加盖供应商电子签章。</w:t>
      </w:r>
    </w:p>
    <w:p w14:paraId="350F0115">
      <w:pPr>
        <w:spacing w:before="120" w:beforeLines="50"/>
        <w:ind w:firstLine="643" w:firstLineChars="200"/>
        <w:jc w:val="center"/>
        <w:rPr>
          <w:color w:val="auto"/>
          <w:u w:val="single"/>
        </w:rPr>
      </w:pPr>
      <w:r>
        <w:rPr>
          <w:rFonts w:cs="宋体"/>
          <w:b/>
          <w:color w:val="auto"/>
          <w:sz w:val="32"/>
          <w:szCs w:val="32"/>
        </w:rPr>
        <w:br w:type="page"/>
      </w:r>
      <w:r>
        <w:rPr>
          <w:rFonts w:hint="eastAsia" w:cs="宋体"/>
          <w:b/>
          <w:color w:val="auto"/>
          <w:sz w:val="32"/>
          <w:szCs w:val="32"/>
        </w:rPr>
        <w:t>项目技术负责人（项目总工）简历表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0FE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4587DA2">
            <w:pPr>
              <w:jc w:val="center"/>
              <w:rPr>
                <w:color w:val="auto"/>
              </w:rPr>
            </w:pPr>
            <w:r>
              <w:rPr>
                <w:rFonts w:hint="eastAsia" w:cs="宋体"/>
                <w:color w:val="auto"/>
              </w:rPr>
              <w:t>姓名</w:t>
            </w:r>
          </w:p>
        </w:tc>
        <w:tc>
          <w:tcPr>
            <w:tcW w:w="2340" w:type="dxa"/>
            <w:gridSpan w:val="5"/>
            <w:vAlign w:val="center"/>
          </w:tcPr>
          <w:p w14:paraId="1084D141">
            <w:pPr>
              <w:jc w:val="center"/>
              <w:rPr>
                <w:color w:val="auto"/>
              </w:rPr>
            </w:pPr>
          </w:p>
        </w:tc>
        <w:tc>
          <w:tcPr>
            <w:tcW w:w="1893" w:type="dxa"/>
            <w:gridSpan w:val="5"/>
            <w:vAlign w:val="center"/>
          </w:tcPr>
          <w:p w14:paraId="48FB2CAF">
            <w:pPr>
              <w:jc w:val="center"/>
              <w:rPr>
                <w:color w:val="auto"/>
              </w:rPr>
            </w:pPr>
            <w:r>
              <w:rPr>
                <w:rFonts w:hint="eastAsia" w:cs="宋体"/>
                <w:color w:val="auto"/>
              </w:rPr>
              <w:t>性别</w:t>
            </w:r>
          </w:p>
        </w:tc>
        <w:tc>
          <w:tcPr>
            <w:tcW w:w="1585" w:type="dxa"/>
            <w:gridSpan w:val="3"/>
            <w:vAlign w:val="center"/>
          </w:tcPr>
          <w:p w14:paraId="0F02AD55">
            <w:pPr>
              <w:jc w:val="center"/>
              <w:rPr>
                <w:color w:val="auto"/>
              </w:rPr>
            </w:pPr>
          </w:p>
        </w:tc>
        <w:tc>
          <w:tcPr>
            <w:tcW w:w="1108" w:type="dxa"/>
            <w:vAlign w:val="center"/>
          </w:tcPr>
          <w:p w14:paraId="5F76B242">
            <w:pPr>
              <w:jc w:val="center"/>
              <w:rPr>
                <w:color w:val="auto"/>
              </w:rPr>
            </w:pPr>
            <w:r>
              <w:rPr>
                <w:rFonts w:hint="eastAsia" w:cs="宋体"/>
                <w:color w:val="auto"/>
              </w:rPr>
              <w:t>年龄</w:t>
            </w:r>
          </w:p>
        </w:tc>
        <w:tc>
          <w:tcPr>
            <w:tcW w:w="1531" w:type="dxa"/>
            <w:gridSpan w:val="4"/>
            <w:vAlign w:val="center"/>
          </w:tcPr>
          <w:p w14:paraId="32AF99E1">
            <w:pPr>
              <w:jc w:val="center"/>
              <w:rPr>
                <w:color w:val="auto"/>
              </w:rPr>
            </w:pPr>
          </w:p>
        </w:tc>
      </w:tr>
      <w:tr w14:paraId="4176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447D3D70">
            <w:pPr>
              <w:jc w:val="center"/>
              <w:rPr>
                <w:color w:val="auto"/>
              </w:rPr>
            </w:pPr>
            <w:r>
              <w:rPr>
                <w:rFonts w:hint="eastAsia" w:cs="宋体"/>
                <w:color w:val="auto"/>
              </w:rPr>
              <w:t>岗位</w:t>
            </w:r>
          </w:p>
        </w:tc>
        <w:tc>
          <w:tcPr>
            <w:tcW w:w="2340" w:type="dxa"/>
            <w:gridSpan w:val="5"/>
            <w:vAlign w:val="center"/>
          </w:tcPr>
          <w:p w14:paraId="715CC42C">
            <w:pPr>
              <w:jc w:val="center"/>
              <w:rPr>
                <w:color w:val="auto"/>
              </w:rPr>
            </w:pPr>
            <w:r>
              <w:rPr>
                <w:rFonts w:hint="eastAsia"/>
                <w:color w:val="auto"/>
              </w:rPr>
              <w:t>项目技术负责人（项目总工）</w:t>
            </w:r>
          </w:p>
        </w:tc>
        <w:tc>
          <w:tcPr>
            <w:tcW w:w="1893" w:type="dxa"/>
            <w:gridSpan w:val="5"/>
            <w:vAlign w:val="center"/>
          </w:tcPr>
          <w:p w14:paraId="144C08DE">
            <w:pPr>
              <w:jc w:val="center"/>
              <w:rPr>
                <w:color w:val="auto"/>
              </w:rPr>
            </w:pPr>
            <w:r>
              <w:rPr>
                <w:rFonts w:hint="eastAsia" w:cs="宋体"/>
                <w:color w:val="auto"/>
              </w:rPr>
              <w:t>职称</w:t>
            </w:r>
          </w:p>
        </w:tc>
        <w:tc>
          <w:tcPr>
            <w:tcW w:w="1585" w:type="dxa"/>
            <w:gridSpan w:val="3"/>
            <w:vAlign w:val="center"/>
          </w:tcPr>
          <w:p w14:paraId="53D145EA">
            <w:pPr>
              <w:jc w:val="center"/>
              <w:rPr>
                <w:color w:val="auto"/>
              </w:rPr>
            </w:pPr>
          </w:p>
        </w:tc>
        <w:tc>
          <w:tcPr>
            <w:tcW w:w="1108" w:type="dxa"/>
            <w:vAlign w:val="center"/>
          </w:tcPr>
          <w:p w14:paraId="67C482BB">
            <w:pPr>
              <w:jc w:val="center"/>
              <w:rPr>
                <w:color w:val="auto"/>
              </w:rPr>
            </w:pPr>
            <w:r>
              <w:rPr>
                <w:rFonts w:hint="eastAsia" w:cs="宋体"/>
                <w:color w:val="auto"/>
              </w:rPr>
              <w:t>学历</w:t>
            </w:r>
          </w:p>
        </w:tc>
        <w:tc>
          <w:tcPr>
            <w:tcW w:w="1531" w:type="dxa"/>
            <w:gridSpan w:val="4"/>
            <w:vAlign w:val="center"/>
          </w:tcPr>
          <w:p w14:paraId="68A7385F">
            <w:pPr>
              <w:jc w:val="center"/>
              <w:rPr>
                <w:color w:val="auto"/>
              </w:rPr>
            </w:pPr>
          </w:p>
        </w:tc>
      </w:tr>
      <w:tr w14:paraId="1AF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821E8E8">
            <w:pPr>
              <w:jc w:val="center"/>
              <w:rPr>
                <w:rFonts w:cs="宋体"/>
                <w:color w:val="auto"/>
              </w:rPr>
            </w:pPr>
            <w:r>
              <w:rPr>
                <w:rFonts w:hint="eastAsia" w:cs="宋体"/>
                <w:color w:val="auto"/>
              </w:rPr>
              <w:t>从业开始时间</w:t>
            </w:r>
          </w:p>
        </w:tc>
        <w:tc>
          <w:tcPr>
            <w:tcW w:w="2340" w:type="dxa"/>
            <w:gridSpan w:val="5"/>
            <w:vAlign w:val="center"/>
          </w:tcPr>
          <w:p w14:paraId="36AE1217">
            <w:pPr>
              <w:jc w:val="center"/>
              <w:rPr>
                <w:color w:val="auto"/>
              </w:rPr>
            </w:pPr>
          </w:p>
        </w:tc>
        <w:tc>
          <w:tcPr>
            <w:tcW w:w="1893" w:type="dxa"/>
            <w:gridSpan w:val="5"/>
            <w:vAlign w:val="center"/>
          </w:tcPr>
          <w:p w14:paraId="5BF24321">
            <w:pPr>
              <w:jc w:val="center"/>
              <w:rPr>
                <w:rFonts w:cs="宋体"/>
                <w:color w:val="auto"/>
              </w:rPr>
            </w:pPr>
            <w:r>
              <w:rPr>
                <w:rFonts w:hint="eastAsia" w:cs="宋体"/>
                <w:color w:val="auto"/>
              </w:rPr>
              <w:t>职称获得时间</w:t>
            </w:r>
          </w:p>
        </w:tc>
        <w:tc>
          <w:tcPr>
            <w:tcW w:w="1585" w:type="dxa"/>
            <w:gridSpan w:val="3"/>
            <w:vAlign w:val="center"/>
          </w:tcPr>
          <w:p w14:paraId="42AB2C5A">
            <w:pPr>
              <w:jc w:val="center"/>
              <w:rPr>
                <w:color w:val="auto"/>
              </w:rPr>
            </w:pPr>
          </w:p>
        </w:tc>
        <w:tc>
          <w:tcPr>
            <w:tcW w:w="1108" w:type="dxa"/>
            <w:vAlign w:val="center"/>
          </w:tcPr>
          <w:p w14:paraId="661DF072">
            <w:pPr>
              <w:jc w:val="center"/>
              <w:rPr>
                <w:rFonts w:cs="宋体"/>
                <w:color w:val="auto"/>
              </w:rPr>
            </w:pPr>
            <w:r>
              <w:rPr>
                <w:rFonts w:hint="eastAsia" w:cs="宋体"/>
                <w:color w:val="auto"/>
              </w:rPr>
              <w:t>毕业时间</w:t>
            </w:r>
          </w:p>
        </w:tc>
        <w:tc>
          <w:tcPr>
            <w:tcW w:w="1531" w:type="dxa"/>
            <w:gridSpan w:val="4"/>
            <w:vAlign w:val="center"/>
          </w:tcPr>
          <w:p w14:paraId="5E010263">
            <w:pPr>
              <w:jc w:val="center"/>
              <w:rPr>
                <w:color w:val="auto"/>
              </w:rPr>
            </w:pPr>
          </w:p>
        </w:tc>
      </w:tr>
      <w:tr w14:paraId="3ACC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1391628">
            <w:pPr>
              <w:jc w:val="center"/>
              <w:rPr>
                <w:color w:val="auto"/>
              </w:rPr>
            </w:pPr>
            <w:r>
              <w:rPr>
                <w:rFonts w:hint="eastAsia" w:cs="宋体"/>
                <w:color w:val="auto"/>
              </w:rPr>
              <w:t>担任</w:t>
            </w:r>
            <w:r>
              <w:rPr>
                <w:rFonts w:hint="eastAsia"/>
                <w:color w:val="auto"/>
              </w:rPr>
              <w:t>……</w:t>
            </w:r>
            <w:r>
              <w:rPr>
                <w:rFonts w:hint="eastAsia" w:cs="宋体"/>
                <w:color w:val="auto"/>
              </w:rPr>
              <w:t>年限</w:t>
            </w:r>
          </w:p>
        </w:tc>
        <w:tc>
          <w:tcPr>
            <w:tcW w:w="2476" w:type="dxa"/>
            <w:gridSpan w:val="6"/>
            <w:vAlign w:val="center"/>
          </w:tcPr>
          <w:p w14:paraId="178D5C15">
            <w:pPr>
              <w:jc w:val="center"/>
              <w:rPr>
                <w:color w:val="auto"/>
              </w:rPr>
            </w:pPr>
          </w:p>
        </w:tc>
        <w:tc>
          <w:tcPr>
            <w:tcW w:w="1209" w:type="dxa"/>
            <w:vAlign w:val="center"/>
          </w:tcPr>
          <w:p w14:paraId="78C25FF3">
            <w:pPr>
              <w:jc w:val="center"/>
              <w:rPr>
                <w:color w:val="auto"/>
              </w:rPr>
            </w:pPr>
            <w:r>
              <w:rPr>
                <w:rFonts w:hint="eastAsia"/>
                <w:color w:val="auto"/>
              </w:rPr>
              <w:t>身份证号码</w:t>
            </w:r>
          </w:p>
        </w:tc>
        <w:tc>
          <w:tcPr>
            <w:tcW w:w="4608" w:type="dxa"/>
            <w:gridSpan w:val="10"/>
            <w:vAlign w:val="center"/>
          </w:tcPr>
          <w:p w14:paraId="22EF7129">
            <w:pPr>
              <w:jc w:val="center"/>
              <w:rPr>
                <w:color w:val="auto"/>
              </w:rPr>
            </w:pPr>
          </w:p>
        </w:tc>
      </w:tr>
      <w:tr w14:paraId="3678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27E2F853">
            <w:pPr>
              <w:jc w:val="center"/>
              <w:rPr>
                <w:color w:val="auto"/>
              </w:rPr>
            </w:pPr>
            <w:r>
              <w:rPr>
                <w:rFonts w:hint="eastAsia"/>
                <w:color w:val="auto"/>
              </w:rPr>
              <w:t>证书名称</w:t>
            </w:r>
          </w:p>
        </w:tc>
        <w:tc>
          <w:tcPr>
            <w:tcW w:w="1188" w:type="dxa"/>
            <w:gridSpan w:val="2"/>
            <w:vAlign w:val="center"/>
          </w:tcPr>
          <w:p w14:paraId="05D9206A">
            <w:pPr>
              <w:jc w:val="center"/>
              <w:rPr>
                <w:color w:val="auto"/>
              </w:rPr>
            </w:pPr>
            <w:r>
              <w:rPr>
                <w:rFonts w:hint="eastAsia"/>
                <w:color w:val="auto"/>
              </w:rPr>
              <w:t>注册专业</w:t>
            </w:r>
          </w:p>
        </w:tc>
        <w:tc>
          <w:tcPr>
            <w:tcW w:w="1222" w:type="dxa"/>
            <w:gridSpan w:val="3"/>
            <w:vAlign w:val="center"/>
          </w:tcPr>
          <w:p w14:paraId="5A4A1A73">
            <w:pPr>
              <w:jc w:val="center"/>
              <w:rPr>
                <w:color w:val="auto"/>
              </w:rPr>
            </w:pPr>
            <w:r>
              <w:rPr>
                <w:rFonts w:hint="eastAsia"/>
                <w:color w:val="auto"/>
              </w:rPr>
              <w:t>级别</w:t>
            </w:r>
          </w:p>
        </w:tc>
        <w:tc>
          <w:tcPr>
            <w:tcW w:w="1417" w:type="dxa"/>
            <w:gridSpan w:val="3"/>
            <w:vAlign w:val="center"/>
          </w:tcPr>
          <w:p w14:paraId="4CB3BF62">
            <w:pPr>
              <w:jc w:val="center"/>
              <w:rPr>
                <w:color w:val="auto"/>
              </w:rPr>
            </w:pPr>
            <w:r>
              <w:rPr>
                <w:rFonts w:hint="eastAsia" w:cs="宋体"/>
                <w:color w:val="auto"/>
              </w:rPr>
              <w:t>证书编号</w:t>
            </w:r>
          </w:p>
        </w:tc>
        <w:tc>
          <w:tcPr>
            <w:tcW w:w="1418" w:type="dxa"/>
            <w:gridSpan w:val="3"/>
            <w:vAlign w:val="center"/>
          </w:tcPr>
          <w:p w14:paraId="2EE5C054">
            <w:pPr>
              <w:jc w:val="center"/>
              <w:rPr>
                <w:color w:val="auto"/>
              </w:rPr>
            </w:pPr>
            <w:r>
              <w:rPr>
                <w:rFonts w:hint="eastAsia"/>
                <w:color w:val="auto"/>
              </w:rPr>
              <w:t>注册时间</w:t>
            </w:r>
          </w:p>
        </w:tc>
        <w:tc>
          <w:tcPr>
            <w:tcW w:w="1632" w:type="dxa"/>
            <w:gridSpan w:val="4"/>
            <w:vAlign w:val="center"/>
          </w:tcPr>
          <w:p w14:paraId="236C341F">
            <w:pPr>
              <w:jc w:val="center"/>
              <w:rPr>
                <w:color w:val="auto"/>
              </w:rPr>
            </w:pPr>
            <w:r>
              <w:rPr>
                <w:rFonts w:hint="eastAsia"/>
                <w:color w:val="auto"/>
              </w:rPr>
              <w:t>注册单位</w:t>
            </w:r>
          </w:p>
        </w:tc>
        <w:tc>
          <w:tcPr>
            <w:tcW w:w="1416" w:type="dxa"/>
            <w:gridSpan w:val="2"/>
            <w:vAlign w:val="center"/>
          </w:tcPr>
          <w:p w14:paraId="361FE358">
            <w:pPr>
              <w:jc w:val="center"/>
              <w:rPr>
                <w:color w:val="auto"/>
              </w:rPr>
            </w:pPr>
            <w:r>
              <w:rPr>
                <w:rFonts w:hint="eastAsia"/>
                <w:color w:val="auto"/>
              </w:rPr>
              <w:t>注册有效期</w:t>
            </w:r>
          </w:p>
        </w:tc>
      </w:tr>
      <w:tr w14:paraId="1A7E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BD9B2F3">
            <w:pPr>
              <w:jc w:val="center"/>
              <w:rPr>
                <w:color w:val="auto"/>
              </w:rPr>
            </w:pPr>
          </w:p>
        </w:tc>
        <w:tc>
          <w:tcPr>
            <w:tcW w:w="1188" w:type="dxa"/>
            <w:gridSpan w:val="2"/>
            <w:vAlign w:val="center"/>
          </w:tcPr>
          <w:p w14:paraId="2C1DD97C">
            <w:pPr>
              <w:jc w:val="center"/>
              <w:rPr>
                <w:color w:val="auto"/>
              </w:rPr>
            </w:pPr>
          </w:p>
        </w:tc>
        <w:tc>
          <w:tcPr>
            <w:tcW w:w="1222" w:type="dxa"/>
            <w:gridSpan w:val="3"/>
            <w:vAlign w:val="center"/>
          </w:tcPr>
          <w:p w14:paraId="142F59B2">
            <w:pPr>
              <w:jc w:val="center"/>
              <w:rPr>
                <w:rFonts w:cs="宋体"/>
                <w:color w:val="auto"/>
              </w:rPr>
            </w:pPr>
          </w:p>
        </w:tc>
        <w:tc>
          <w:tcPr>
            <w:tcW w:w="1417" w:type="dxa"/>
            <w:gridSpan w:val="3"/>
            <w:vAlign w:val="center"/>
          </w:tcPr>
          <w:p w14:paraId="094AA6E1">
            <w:pPr>
              <w:jc w:val="center"/>
              <w:rPr>
                <w:color w:val="auto"/>
              </w:rPr>
            </w:pPr>
          </w:p>
        </w:tc>
        <w:tc>
          <w:tcPr>
            <w:tcW w:w="1418" w:type="dxa"/>
            <w:gridSpan w:val="3"/>
            <w:vAlign w:val="center"/>
          </w:tcPr>
          <w:p w14:paraId="5B667F9E">
            <w:pPr>
              <w:jc w:val="center"/>
              <w:rPr>
                <w:color w:val="auto"/>
              </w:rPr>
            </w:pPr>
          </w:p>
        </w:tc>
        <w:tc>
          <w:tcPr>
            <w:tcW w:w="1632" w:type="dxa"/>
            <w:gridSpan w:val="4"/>
            <w:vAlign w:val="center"/>
          </w:tcPr>
          <w:p w14:paraId="34C4BEBF">
            <w:pPr>
              <w:jc w:val="center"/>
              <w:rPr>
                <w:color w:val="auto"/>
              </w:rPr>
            </w:pPr>
          </w:p>
        </w:tc>
        <w:tc>
          <w:tcPr>
            <w:tcW w:w="1416" w:type="dxa"/>
            <w:gridSpan w:val="2"/>
            <w:vAlign w:val="center"/>
          </w:tcPr>
          <w:p w14:paraId="1619688C">
            <w:pPr>
              <w:jc w:val="center"/>
              <w:rPr>
                <w:color w:val="auto"/>
              </w:rPr>
            </w:pPr>
          </w:p>
        </w:tc>
      </w:tr>
      <w:tr w14:paraId="1A8A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34DEF526">
            <w:pPr>
              <w:jc w:val="center"/>
              <w:rPr>
                <w:color w:val="auto"/>
              </w:rPr>
            </w:pPr>
          </w:p>
        </w:tc>
        <w:tc>
          <w:tcPr>
            <w:tcW w:w="1188" w:type="dxa"/>
            <w:gridSpan w:val="2"/>
            <w:vAlign w:val="center"/>
          </w:tcPr>
          <w:p w14:paraId="3127E109">
            <w:pPr>
              <w:jc w:val="center"/>
              <w:rPr>
                <w:color w:val="auto"/>
              </w:rPr>
            </w:pPr>
          </w:p>
        </w:tc>
        <w:tc>
          <w:tcPr>
            <w:tcW w:w="1222" w:type="dxa"/>
            <w:gridSpan w:val="3"/>
            <w:vAlign w:val="center"/>
          </w:tcPr>
          <w:p w14:paraId="1BA92295">
            <w:pPr>
              <w:jc w:val="center"/>
              <w:rPr>
                <w:rFonts w:cs="宋体"/>
                <w:color w:val="auto"/>
              </w:rPr>
            </w:pPr>
          </w:p>
        </w:tc>
        <w:tc>
          <w:tcPr>
            <w:tcW w:w="1417" w:type="dxa"/>
            <w:gridSpan w:val="3"/>
            <w:vAlign w:val="center"/>
          </w:tcPr>
          <w:p w14:paraId="08E326F3">
            <w:pPr>
              <w:jc w:val="center"/>
              <w:rPr>
                <w:color w:val="auto"/>
              </w:rPr>
            </w:pPr>
          </w:p>
        </w:tc>
        <w:tc>
          <w:tcPr>
            <w:tcW w:w="1418" w:type="dxa"/>
            <w:gridSpan w:val="3"/>
            <w:vAlign w:val="center"/>
          </w:tcPr>
          <w:p w14:paraId="5B9DE1DA">
            <w:pPr>
              <w:jc w:val="center"/>
              <w:rPr>
                <w:color w:val="auto"/>
              </w:rPr>
            </w:pPr>
          </w:p>
        </w:tc>
        <w:tc>
          <w:tcPr>
            <w:tcW w:w="1632" w:type="dxa"/>
            <w:gridSpan w:val="4"/>
            <w:vAlign w:val="center"/>
          </w:tcPr>
          <w:p w14:paraId="5DD2704A">
            <w:pPr>
              <w:jc w:val="center"/>
              <w:rPr>
                <w:color w:val="auto"/>
              </w:rPr>
            </w:pPr>
          </w:p>
        </w:tc>
        <w:tc>
          <w:tcPr>
            <w:tcW w:w="1416" w:type="dxa"/>
            <w:gridSpan w:val="2"/>
            <w:vAlign w:val="center"/>
          </w:tcPr>
          <w:p w14:paraId="60C8414A">
            <w:pPr>
              <w:jc w:val="center"/>
              <w:rPr>
                <w:color w:val="auto"/>
              </w:rPr>
            </w:pPr>
          </w:p>
        </w:tc>
      </w:tr>
      <w:tr w14:paraId="7205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A3AD4C6">
            <w:pPr>
              <w:jc w:val="center"/>
              <w:rPr>
                <w:color w:val="auto"/>
              </w:rPr>
            </w:pPr>
            <w:r>
              <w:rPr>
                <w:rFonts w:hint="eastAsia" w:cs="宋体"/>
                <w:color w:val="auto"/>
              </w:rPr>
              <w:t>在建和已完工程项目情况</w:t>
            </w:r>
          </w:p>
        </w:tc>
      </w:tr>
      <w:tr w14:paraId="31C3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2000E5E">
            <w:pPr>
              <w:jc w:val="center"/>
              <w:rPr>
                <w:color w:val="auto"/>
              </w:rPr>
            </w:pPr>
          </w:p>
        </w:tc>
        <w:tc>
          <w:tcPr>
            <w:tcW w:w="1548" w:type="dxa"/>
            <w:gridSpan w:val="2"/>
            <w:vAlign w:val="center"/>
          </w:tcPr>
          <w:p w14:paraId="5C9177E5">
            <w:pPr>
              <w:jc w:val="center"/>
              <w:rPr>
                <w:color w:val="auto"/>
              </w:rPr>
            </w:pPr>
            <w:r>
              <w:rPr>
                <w:rFonts w:hint="eastAsia"/>
                <w:color w:val="auto"/>
              </w:rPr>
              <w:t>项目</w:t>
            </w:r>
            <w:r>
              <w:rPr>
                <w:color w:val="auto"/>
              </w:rPr>
              <w:t>1</w:t>
            </w:r>
          </w:p>
        </w:tc>
        <w:tc>
          <w:tcPr>
            <w:tcW w:w="1837" w:type="dxa"/>
            <w:gridSpan w:val="4"/>
            <w:vAlign w:val="center"/>
          </w:tcPr>
          <w:p w14:paraId="7FFB40A1">
            <w:pPr>
              <w:jc w:val="center"/>
              <w:rPr>
                <w:color w:val="auto"/>
              </w:rPr>
            </w:pPr>
            <w:r>
              <w:rPr>
                <w:rFonts w:hint="eastAsia"/>
                <w:color w:val="auto"/>
              </w:rPr>
              <w:t>项目</w:t>
            </w:r>
            <w:r>
              <w:rPr>
                <w:color w:val="auto"/>
              </w:rPr>
              <w:t>2</w:t>
            </w:r>
          </w:p>
        </w:tc>
        <w:tc>
          <w:tcPr>
            <w:tcW w:w="1472" w:type="dxa"/>
            <w:gridSpan w:val="3"/>
            <w:vAlign w:val="center"/>
          </w:tcPr>
          <w:p w14:paraId="4B17339E">
            <w:pPr>
              <w:jc w:val="center"/>
              <w:rPr>
                <w:color w:val="auto"/>
              </w:rPr>
            </w:pPr>
            <w:r>
              <w:rPr>
                <w:rFonts w:hint="eastAsia"/>
                <w:color w:val="auto"/>
              </w:rPr>
              <w:t>项目</w:t>
            </w:r>
            <w:r>
              <w:rPr>
                <w:color w:val="auto"/>
              </w:rPr>
              <w:t>3</w:t>
            </w:r>
          </w:p>
        </w:tc>
        <w:tc>
          <w:tcPr>
            <w:tcW w:w="1641" w:type="dxa"/>
            <w:gridSpan w:val="4"/>
            <w:vAlign w:val="center"/>
          </w:tcPr>
          <w:p w14:paraId="1004E77A">
            <w:pPr>
              <w:jc w:val="center"/>
              <w:rPr>
                <w:color w:val="auto"/>
              </w:rPr>
            </w:pPr>
            <w:r>
              <w:rPr>
                <w:rFonts w:hint="eastAsia"/>
                <w:color w:val="auto"/>
              </w:rPr>
              <w:t>项目</w:t>
            </w:r>
            <w:r>
              <w:rPr>
                <w:color w:val="auto"/>
              </w:rPr>
              <w:t>4</w:t>
            </w:r>
          </w:p>
        </w:tc>
        <w:tc>
          <w:tcPr>
            <w:tcW w:w="1484" w:type="dxa"/>
            <w:gridSpan w:val="2"/>
            <w:vAlign w:val="center"/>
          </w:tcPr>
          <w:p w14:paraId="090E85FA">
            <w:pPr>
              <w:jc w:val="center"/>
              <w:rPr>
                <w:color w:val="auto"/>
              </w:rPr>
            </w:pPr>
            <w:r>
              <w:rPr>
                <w:rFonts w:hint="eastAsia"/>
                <w:color w:val="auto"/>
              </w:rPr>
              <w:t>……</w:t>
            </w:r>
          </w:p>
        </w:tc>
      </w:tr>
      <w:tr w14:paraId="674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0FDDD468">
            <w:pPr>
              <w:jc w:val="center"/>
              <w:rPr>
                <w:color w:val="auto"/>
              </w:rPr>
            </w:pPr>
            <w:r>
              <w:rPr>
                <w:rFonts w:hint="eastAsia"/>
                <w:color w:val="auto"/>
              </w:rPr>
              <w:t>项目名称</w:t>
            </w:r>
          </w:p>
        </w:tc>
        <w:tc>
          <w:tcPr>
            <w:tcW w:w="1548" w:type="dxa"/>
            <w:gridSpan w:val="2"/>
            <w:vAlign w:val="center"/>
          </w:tcPr>
          <w:p w14:paraId="2B180A76">
            <w:pPr>
              <w:jc w:val="center"/>
              <w:rPr>
                <w:color w:val="auto"/>
              </w:rPr>
            </w:pPr>
          </w:p>
        </w:tc>
        <w:tc>
          <w:tcPr>
            <w:tcW w:w="1837" w:type="dxa"/>
            <w:gridSpan w:val="4"/>
            <w:vAlign w:val="center"/>
          </w:tcPr>
          <w:p w14:paraId="6738BC61">
            <w:pPr>
              <w:jc w:val="center"/>
              <w:rPr>
                <w:color w:val="auto"/>
              </w:rPr>
            </w:pPr>
          </w:p>
        </w:tc>
        <w:tc>
          <w:tcPr>
            <w:tcW w:w="1472" w:type="dxa"/>
            <w:gridSpan w:val="3"/>
            <w:vAlign w:val="center"/>
          </w:tcPr>
          <w:p w14:paraId="26A34C20">
            <w:pPr>
              <w:jc w:val="center"/>
              <w:rPr>
                <w:color w:val="auto"/>
              </w:rPr>
            </w:pPr>
          </w:p>
        </w:tc>
        <w:tc>
          <w:tcPr>
            <w:tcW w:w="1641" w:type="dxa"/>
            <w:gridSpan w:val="4"/>
            <w:vAlign w:val="center"/>
          </w:tcPr>
          <w:p w14:paraId="339A07A1">
            <w:pPr>
              <w:jc w:val="center"/>
              <w:rPr>
                <w:color w:val="auto"/>
              </w:rPr>
            </w:pPr>
          </w:p>
        </w:tc>
        <w:tc>
          <w:tcPr>
            <w:tcW w:w="1484" w:type="dxa"/>
            <w:gridSpan w:val="2"/>
            <w:vAlign w:val="center"/>
          </w:tcPr>
          <w:p w14:paraId="6B79F2E4">
            <w:pPr>
              <w:jc w:val="center"/>
              <w:rPr>
                <w:color w:val="auto"/>
              </w:rPr>
            </w:pPr>
          </w:p>
        </w:tc>
      </w:tr>
      <w:tr w14:paraId="783E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88F6E16">
            <w:pPr>
              <w:jc w:val="center"/>
              <w:rPr>
                <w:color w:val="auto"/>
              </w:rPr>
            </w:pPr>
            <w:r>
              <w:rPr>
                <w:rFonts w:hint="eastAsia" w:cs="宋体"/>
                <w:color w:val="auto"/>
              </w:rPr>
              <w:t>建设单位</w:t>
            </w:r>
          </w:p>
        </w:tc>
        <w:tc>
          <w:tcPr>
            <w:tcW w:w="1548" w:type="dxa"/>
            <w:gridSpan w:val="2"/>
            <w:vAlign w:val="center"/>
          </w:tcPr>
          <w:p w14:paraId="23F2A8E8">
            <w:pPr>
              <w:jc w:val="center"/>
              <w:rPr>
                <w:color w:val="auto"/>
              </w:rPr>
            </w:pPr>
          </w:p>
        </w:tc>
        <w:tc>
          <w:tcPr>
            <w:tcW w:w="1837" w:type="dxa"/>
            <w:gridSpan w:val="4"/>
            <w:vAlign w:val="center"/>
          </w:tcPr>
          <w:p w14:paraId="34C6EB52">
            <w:pPr>
              <w:jc w:val="center"/>
              <w:rPr>
                <w:color w:val="auto"/>
              </w:rPr>
            </w:pPr>
          </w:p>
        </w:tc>
        <w:tc>
          <w:tcPr>
            <w:tcW w:w="1472" w:type="dxa"/>
            <w:gridSpan w:val="3"/>
            <w:vAlign w:val="center"/>
          </w:tcPr>
          <w:p w14:paraId="6FD3AA13">
            <w:pPr>
              <w:jc w:val="center"/>
              <w:rPr>
                <w:color w:val="auto"/>
              </w:rPr>
            </w:pPr>
          </w:p>
        </w:tc>
        <w:tc>
          <w:tcPr>
            <w:tcW w:w="1641" w:type="dxa"/>
            <w:gridSpan w:val="4"/>
            <w:vAlign w:val="center"/>
          </w:tcPr>
          <w:p w14:paraId="054FD704">
            <w:pPr>
              <w:jc w:val="center"/>
              <w:rPr>
                <w:color w:val="auto"/>
              </w:rPr>
            </w:pPr>
          </w:p>
        </w:tc>
        <w:tc>
          <w:tcPr>
            <w:tcW w:w="1484" w:type="dxa"/>
            <w:gridSpan w:val="2"/>
            <w:vAlign w:val="center"/>
          </w:tcPr>
          <w:p w14:paraId="05E85ED4">
            <w:pPr>
              <w:jc w:val="center"/>
              <w:rPr>
                <w:color w:val="auto"/>
              </w:rPr>
            </w:pPr>
          </w:p>
        </w:tc>
      </w:tr>
      <w:tr w14:paraId="5C0E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009E3A3">
            <w:pPr>
              <w:jc w:val="center"/>
              <w:rPr>
                <w:color w:val="auto"/>
              </w:rPr>
            </w:pPr>
            <w:r>
              <w:rPr>
                <w:rFonts w:hint="eastAsia" w:cs="宋体"/>
                <w:color w:val="auto"/>
              </w:rPr>
              <w:t>建设规模</w:t>
            </w:r>
          </w:p>
        </w:tc>
        <w:tc>
          <w:tcPr>
            <w:tcW w:w="1548" w:type="dxa"/>
            <w:gridSpan w:val="2"/>
            <w:vAlign w:val="center"/>
          </w:tcPr>
          <w:p w14:paraId="33448D22">
            <w:pPr>
              <w:jc w:val="center"/>
              <w:rPr>
                <w:color w:val="auto"/>
              </w:rPr>
            </w:pPr>
          </w:p>
        </w:tc>
        <w:tc>
          <w:tcPr>
            <w:tcW w:w="1837" w:type="dxa"/>
            <w:gridSpan w:val="4"/>
            <w:vAlign w:val="center"/>
          </w:tcPr>
          <w:p w14:paraId="20A4D76A">
            <w:pPr>
              <w:jc w:val="center"/>
              <w:rPr>
                <w:color w:val="auto"/>
              </w:rPr>
            </w:pPr>
          </w:p>
        </w:tc>
        <w:tc>
          <w:tcPr>
            <w:tcW w:w="1472" w:type="dxa"/>
            <w:gridSpan w:val="3"/>
            <w:vAlign w:val="center"/>
          </w:tcPr>
          <w:p w14:paraId="100C2C01">
            <w:pPr>
              <w:jc w:val="center"/>
              <w:rPr>
                <w:color w:val="auto"/>
              </w:rPr>
            </w:pPr>
          </w:p>
        </w:tc>
        <w:tc>
          <w:tcPr>
            <w:tcW w:w="1641" w:type="dxa"/>
            <w:gridSpan w:val="4"/>
            <w:vAlign w:val="center"/>
          </w:tcPr>
          <w:p w14:paraId="55E14B37">
            <w:pPr>
              <w:jc w:val="center"/>
              <w:rPr>
                <w:color w:val="auto"/>
              </w:rPr>
            </w:pPr>
          </w:p>
        </w:tc>
        <w:tc>
          <w:tcPr>
            <w:tcW w:w="1484" w:type="dxa"/>
            <w:gridSpan w:val="2"/>
            <w:vAlign w:val="center"/>
          </w:tcPr>
          <w:p w14:paraId="7F6AB800">
            <w:pPr>
              <w:jc w:val="center"/>
              <w:rPr>
                <w:color w:val="auto"/>
              </w:rPr>
            </w:pPr>
          </w:p>
        </w:tc>
      </w:tr>
      <w:tr w14:paraId="5E6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EA9D57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7FCB13E2">
            <w:pPr>
              <w:jc w:val="center"/>
              <w:rPr>
                <w:color w:val="auto"/>
              </w:rPr>
            </w:pPr>
          </w:p>
        </w:tc>
        <w:tc>
          <w:tcPr>
            <w:tcW w:w="1837" w:type="dxa"/>
            <w:gridSpan w:val="4"/>
            <w:vAlign w:val="center"/>
          </w:tcPr>
          <w:p w14:paraId="0563B17C">
            <w:pPr>
              <w:jc w:val="center"/>
              <w:rPr>
                <w:color w:val="auto"/>
              </w:rPr>
            </w:pPr>
          </w:p>
        </w:tc>
        <w:tc>
          <w:tcPr>
            <w:tcW w:w="1472" w:type="dxa"/>
            <w:gridSpan w:val="3"/>
            <w:vAlign w:val="center"/>
          </w:tcPr>
          <w:p w14:paraId="2703BA7C">
            <w:pPr>
              <w:jc w:val="center"/>
              <w:rPr>
                <w:color w:val="auto"/>
              </w:rPr>
            </w:pPr>
          </w:p>
        </w:tc>
        <w:tc>
          <w:tcPr>
            <w:tcW w:w="1641" w:type="dxa"/>
            <w:gridSpan w:val="4"/>
            <w:vAlign w:val="center"/>
          </w:tcPr>
          <w:p w14:paraId="727157E3">
            <w:pPr>
              <w:jc w:val="center"/>
              <w:rPr>
                <w:color w:val="auto"/>
              </w:rPr>
            </w:pPr>
          </w:p>
        </w:tc>
        <w:tc>
          <w:tcPr>
            <w:tcW w:w="1484" w:type="dxa"/>
            <w:gridSpan w:val="2"/>
            <w:vAlign w:val="center"/>
          </w:tcPr>
          <w:p w14:paraId="7FA10C06">
            <w:pPr>
              <w:jc w:val="center"/>
              <w:rPr>
                <w:color w:val="auto"/>
              </w:rPr>
            </w:pPr>
          </w:p>
        </w:tc>
      </w:tr>
      <w:tr w14:paraId="4BBF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7D371F2">
            <w:pPr>
              <w:jc w:val="center"/>
              <w:rPr>
                <w:color w:val="auto"/>
              </w:rPr>
            </w:pPr>
            <w:r>
              <w:rPr>
                <w:rFonts w:hint="eastAsia" w:cs="宋体"/>
                <w:color w:val="auto"/>
              </w:rPr>
              <w:t>竣工日期</w:t>
            </w:r>
          </w:p>
        </w:tc>
        <w:tc>
          <w:tcPr>
            <w:tcW w:w="1548" w:type="dxa"/>
            <w:gridSpan w:val="2"/>
            <w:vAlign w:val="center"/>
          </w:tcPr>
          <w:p w14:paraId="4AA6EA67">
            <w:pPr>
              <w:jc w:val="center"/>
              <w:rPr>
                <w:color w:val="auto"/>
              </w:rPr>
            </w:pPr>
          </w:p>
        </w:tc>
        <w:tc>
          <w:tcPr>
            <w:tcW w:w="1837" w:type="dxa"/>
            <w:gridSpan w:val="4"/>
            <w:vAlign w:val="center"/>
          </w:tcPr>
          <w:p w14:paraId="26EA0382">
            <w:pPr>
              <w:jc w:val="center"/>
              <w:rPr>
                <w:color w:val="auto"/>
              </w:rPr>
            </w:pPr>
          </w:p>
        </w:tc>
        <w:tc>
          <w:tcPr>
            <w:tcW w:w="1472" w:type="dxa"/>
            <w:gridSpan w:val="3"/>
            <w:vAlign w:val="center"/>
          </w:tcPr>
          <w:p w14:paraId="18C20E29">
            <w:pPr>
              <w:jc w:val="center"/>
              <w:rPr>
                <w:color w:val="auto"/>
              </w:rPr>
            </w:pPr>
          </w:p>
        </w:tc>
        <w:tc>
          <w:tcPr>
            <w:tcW w:w="1641" w:type="dxa"/>
            <w:gridSpan w:val="4"/>
            <w:vAlign w:val="center"/>
          </w:tcPr>
          <w:p w14:paraId="41718680">
            <w:pPr>
              <w:jc w:val="center"/>
              <w:rPr>
                <w:color w:val="auto"/>
              </w:rPr>
            </w:pPr>
          </w:p>
        </w:tc>
        <w:tc>
          <w:tcPr>
            <w:tcW w:w="1484" w:type="dxa"/>
            <w:gridSpan w:val="2"/>
            <w:vAlign w:val="center"/>
          </w:tcPr>
          <w:p w14:paraId="56B1FBDF">
            <w:pPr>
              <w:jc w:val="center"/>
              <w:rPr>
                <w:color w:val="auto"/>
              </w:rPr>
            </w:pPr>
          </w:p>
        </w:tc>
      </w:tr>
      <w:tr w14:paraId="2311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528717C">
            <w:pPr>
              <w:jc w:val="center"/>
              <w:rPr>
                <w:rFonts w:cs="宋体"/>
                <w:color w:val="auto"/>
              </w:rPr>
            </w:pPr>
            <w:r>
              <w:rPr>
                <w:rFonts w:hint="eastAsia" w:cs="宋体"/>
                <w:color w:val="auto"/>
              </w:rPr>
              <w:t>人员角色</w:t>
            </w:r>
          </w:p>
        </w:tc>
        <w:tc>
          <w:tcPr>
            <w:tcW w:w="1548" w:type="dxa"/>
            <w:gridSpan w:val="2"/>
            <w:vAlign w:val="center"/>
          </w:tcPr>
          <w:p w14:paraId="29919AC1">
            <w:pPr>
              <w:jc w:val="center"/>
              <w:rPr>
                <w:color w:val="auto"/>
              </w:rPr>
            </w:pPr>
          </w:p>
        </w:tc>
        <w:tc>
          <w:tcPr>
            <w:tcW w:w="1837" w:type="dxa"/>
            <w:gridSpan w:val="4"/>
            <w:vAlign w:val="center"/>
          </w:tcPr>
          <w:p w14:paraId="5E2323F7">
            <w:pPr>
              <w:jc w:val="center"/>
              <w:rPr>
                <w:color w:val="auto"/>
              </w:rPr>
            </w:pPr>
          </w:p>
        </w:tc>
        <w:tc>
          <w:tcPr>
            <w:tcW w:w="1472" w:type="dxa"/>
            <w:gridSpan w:val="3"/>
            <w:vAlign w:val="center"/>
          </w:tcPr>
          <w:p w14:paraId="56DD8CA1">
            <w:pPr>
              <w:jc w:val="center"/>
              <w:rPr>
                <w:color w:val="auto"/>
              </w:rPr>
            </w:pPr>
          </w:p>
        </w:tc>
        <w:tc>
          <w:tcPr>
            <w:tcW w:w="1641" w:type="dxa"/>
            <w:gridSpan w:val="4"/>
            <w:vAlign w:val="center"/>
          </w:tcPr>
          <w:p w14:paraId="64033333">
            <w:pPr>
              <w:jc w:val="center"/>
              <w:rPr>
                <w:color w:val="auto"/>
              </w:rPr>
            </w:pPr>
          </w:p>
        </w:tc>
        <w:tc>
          <w:tcPr>
            <w:tcW w:w="1484" w:type="dxa"/>
            <w:gridSpan w:val="2"/>
            <w:vAlign w:val="center"/>
          </w:tcPr>
          <w:p w14:paraId="02B917ED">
            <w:pPr>
              <w:jc w:val="center"/>
              <w:rPr>
                <w:color w:val="auto"/>
              </w:rPr>
            </w:pPr>
          </w:p>
        </w:tc>
      </w:tr>
      <w:tr w14:paraId="0FF4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CB6D8FB">
            <w:pPr>
              <w:jc w:val="center"/>
              <w:rPr>
                <w:rFonts w:cs="宋体"/>
                <w:color w:val="auto"/>
              </w:rPr>
            </w:pPr>
            <w:r>
              <w:rPr>
                <w:rFonts w:hint="eastAsia" w:cs="宋体"/>
                <w:color w:val="auto"/>
              </w:rPr>
              <w:t>在建或已完</w:t>
            </w:r>
          </w:p>
        </w:tc>
        <w:tc>
          <w:tcPr>
            <w:tcW w:w="1548" w:type="dxa"/>
            <w:gridSpan w:val="2"/>
            <w:vAlign w:val="center"/>
          </w:tcPr>
          <w:p w14:paraId="0233D0B7">
            <w:pPr>
              <w:jc w:val="center"/>
              <w:rPr>
                <w:color w:val="auto"/>
              </w:rPr>
            </w:pPr>
          </w:p>
        </w:tc>
        <w:tc>
          <w:tcPr>
            <w:tcW w:w="1837" w:type="dxa"/>
            <w:gridSpan w:val="4"/>
            <w:vAlign w:val="center"/>
          </w:tcPr>
          <w:p w14:paraId="52D686D8">
            <w:pPr>
              <w:jc w:val="center"/>
              <w:rPr>
                <w:color w:val="auto"/>
              </w:rPr>
            </w:pPr>
          </w:p>
        </w:tc>
        <w:tc>
          <w:tcPr>
            <w:tcW w:w="1472" w:type="dxa"/>
            <w:gridSpan w:val="3"/>
            <w:vAlign w:val="center"/>
          </w:tcPr>
          <w:p w14:paraId="480A2F5D">
            <w:pPr>
              <w:jc w:val="center"/>
              <w:rPr>
                <w:color w:val="auto"/>
              </w:rPr>
            </w:pPr>
          </w:p>
        </w:tc>
        <w:tc>
          <w:tcPr>
            <w:tcW w:w="1641" w:type="dxa"/>
            <w:gridSpan w:val="4"/>
            <w:vAlign w:val="center"/>
          </w:tcPr>
          <w:p w14:paraId="1BDDBE7B">
            <w:pPr>
              <w:jc w:val="center"/>
              <w:rPr>
                <w:color w:val="auto"/>
              </w:rPr>
            </w:pPr>
          </w:p>
        </w:tc>
        <w:tc>
          <w:tcPr>
            <w:tcW w:w="1484" w:type="dxa"/>
            <w:gridSpan w:val="2"/>
            <w:vAlign w:val="center"/>
          </w:tcPr>
          <w:p w14:paraId="6810A3C5">
            <w:pPr>
              <w:jc w:val="center"/>
              <w:rPr>
                <w:color w:val="auto"/>
              </w:rPr>
            </w:pPr>
          </w:p>
        </w:tc>
      </w:tr>
      <w:tr w14:paraId="601F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2EE5AD7">
            <w:pPr>
              <w:jc w:val="center"/>
              <w:rPr>
                <w:rFonts w:cs="宋体"/>
                <w:color w:val="auto"/>
              </w:rPr>
            </w:pPr>
            <w:r>
              <w:rPr>
                <w:rFonts w:hint="eastAsia" w:cs="宋体"/>
                <w:color w:val="auto"/>
              </w:rPr>
              <w:t>工程质量</w:t>
            </w:r>
          </w:p>
        </w:tc>
        <w:tc>
          <w:tcPr>
            <w:tcW w:w="1548" w:type="dxa"/>
            <w:gridSpan w:val="2"/>
            <w:vAlign w:val="center"/>
          </w:tcPr>
          <w:p w14:paraId="51462CBB">
            <w:pPr>
              <w:jc w:val="center"/>
              <w:rPr>
                <w:color w:val="auto"/>
              </w:rPr>
            </w:pPr>
          </w:p>
        </w:tc>
        <w:tc>
          <w:tcPr>
            <w:tcW w:w="1837" w:type="dxa"/>
            <w:gridSpan w:val="4"/>
            <w:vAlign w:val="center"/>
          </w:tcPr>
          <w:p w14:paraId="3774EFF2">
            <w:pPr>
              <w:jc w:val="center"/>
              <w:rPr>
                <w:color w:val="auto"/>
              </w:rPr>
            </w:pPr>
          </w:p>
        </w:tc>
        <w:tc>
          <w:tcPr>
            <w:tcW w:w="1472" w:type="dxa"/>
            <w:gridSpan w:val="3"/>
            <w:vAlign w:val="center"/>
          </w:tcPr>
          <w:p w14:paraId="3A3598CA">
            <w:pPr>
              <w:jc w:val="center"/>
              <w:rPr>
                <w:color w:val="auto"/>
              </w:rPr>
            </w:pPr>
          </w:p>
        </w:tc>
        <w:tc>
          <w:tcPr>
            <w:tcW w:w="1641" w:type="dxa"/>
            <w:gridSpan w:val="4"/>
            <w:vAlign w:val="center"/>
          </w:tcPr>
          <w:p w14:paraId="3894DBD3">
            <w:pPr>
              <w:jc w:val="center"/>
              <w:rPr>
                <w:color w:val="auto"/>
              </w:rPr>
            </w:pPr>
          </w:p>
        </w:tc>
        <w:tc>
          <w:tcPr>
            <w:tcW w:w="1484" w:type="dxa"/>
            <w:gridSpan w:val="2"/>
            <w:vAlign w:val="center"/>
          </w:tcPr>
          <w:p w14:paraId="586117E9">
            <w:pPr>
              <w:jc w:val="center"/>
              <w:rPr>
                <w:color w:val="auto"/>
              </w:rPr>
            </w:pPr>
          </w:p>
        </w:tc>
      </w:tr>
      <w:tr w14:paraId="6269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70C95C2">
            <w:pPr>
              <w:jc w:val="center"/>
              <w:rPr>
                <w:rFonts w:cs="宋体"/>
                <w:color w:val="auto"/>
              </w:rPr>
            </w:pPr>
            <w:r>
              <w:rPr>
                <w:rFonts w:hint="eastAsia" w:cs="宋体"/>
                <w:color w:val="auto"/>
              </w:rPr>
              <w:t>受奖情况</w:t>
            </w:r>
          </w:p>
        </w:tc>
        <w:tc>
          <w:tcPr>
            <w:tcW w:w="1548" w:type="dxa"/>
            <w:gridSpan w:val="2"/>
            <w:vAlign w:val="center"/>
          </w:tcPr>
          <w:p w14:paraId="6E973282">
            <w:pPr>
              <w:jc w:val="center"/>
              <w:rPr>
                <w:color w:val="auto"/>
              </w:rPr>
            </w:pPr>
          </w:p>
        </w:tc>
        <w:tc>
          <w:tcPr>
            <w:tcW w:w="1837" w:type="dxa"/>
            <w:gridSpan w:val="4"/>
            <w:vAlign w:val="center"/>
          </w:tcPr>
          <w:p w14:paraId="56A4616A">
            <w:pPr>
              <w:jc w:val="center"/>
              <w:rPr>
                <w:color w:val="auto"/>
              </w:rPr>
            </w:pPr>
          </w:p>
        </w:tc>
        <w:tc>
          <w:tcPr>
            <w:tcW w:w="1472" w:type="dxa"/>
            <w:gridSpan w:val="3"/>
            <w:vAlign w:val="center"/>
          </w:tcPr>
          <w:p w14:paraId="39544F92">
            <w:pPr>
              <w:jc w:val="center"/>
              <w:rPr>
                <w:color w:val="auto"/>
              </w:rPr>
            </w:pPr>
          </w:p>
        </w:tc>
        <w:tc>
          <w:tcPr>
            <w:tcW w:w="1641" w:type="dxa"/>
            <w:gridSpan w:val="4"/>
            <w:vAlign w:val="center"/>
          </w:tcPr>
          <w:p w14:paraId="0E8C78DE">
            <w:pPr>
              <w:jc w:val="center"/>
              <w:rPr>
                <w:color w:val="auto"/>
              </w:rPr>
            </w:pPr>
          </w:p>
        </w:tc>
        <w:tc>
          <w:tcPr>
            <w:tcW w:w="1484" w:type="dxa"/>
            <w:gridSpan w:val="2"/>
            <w:vAlign w:val="center"/>
          </w:tcPr>
          <w:p w14:paraId="2460A1BF">
            <w:pPr>
              <w:jc w:val="center"/>
              <w:rPr>
                <w:color w:val="auto"/>
              </w:rPr>
            </w:pPr>
          </w:p>
        </w:tc>
      </w:tr>
    </w:tbl>
    <w:p w14:paraId="634B9B73">
      <w:pPr>
        <w:spacing w:line="360" w:lineRule="auto"/>
        <w:rPr>
          <w:rFonts w:ascii="宋体"/>
          <w:color w:val="auto"/>
          <w:szCs w:val="21"/>
        </w:rPr>
      </w:pPr>
      <w:r>
        <w:rPr>
          <w:rFonts w:hint="eastAsia" w:ascii="宋体" w:hAnsi="宋体" w:cs="楷体_GB2312"/>
          <w:color w:val="auto"/>
          <w:szCs w:val="21"/>
        </w:rPr>
        <w:t>备注：</w:t>
      </w:r>
    </w:p>
    <w:p w14:paraId="7F1EEA10">
      <w:pPr>
        <w:spacing w:line="360" w:lineRule="auto"/>
        <w:ind w:firstLine="420" w:firstLineChars="200"/>
        <w:rPr>
          <w:rFonts w:ascii="宋体"/>
          <w:color w:val="auto"/>
          <w:szCs w:val="21"/>
        </w:rPr>
      </w:pPr>
      <w:r>
        <w:rPr>
          <w:rFonts w:ascii="宋体" w:hAnsi="宋体"/>
          <w:color w:val="auto"/>
          <w:szCs w:val="21"/>
        </w:rPr>
        <w:t>1</w:t>
      </w:r>
      <w:r>
        <w:rPr>
          <w:rFonts w:ascii="宋体"/>
          <w:color w:val="auto"/>
          <w:szCs w:val="21"/>
        </w:rPr>
        <w:t>.</w:t>
      </w:r>
      <w:r>
        <w:rPr>
          <w:rFonts w:hint="eastAsia" w:ascii="宋体" w:hAnsi="宋体"/>
          <w:color w:val="auto"/>
          <w:szCs w:val="21"/>
        </w:rPr>
        <w:t>项目数可以根据需要增加。</w:t>
      </w:r>
    </w:p>
    <w:p w14:paraId="6C42F60E">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本表后附项目技术负责人（项目总工）的学历证、本表所列证书复印件并加盖供应商电子签章。</w:t>
      </w:r>
    </w:p>
    <w:p w14:paraId="2B0E2EAB">
      <w:pPr>
        <w:spacing w:line="360" w:lineRule="auto"/>
        <w:rPr>
          <w:rFonts w:eastAsia="楷体_GB2312"/>
          <w:color w:val="auto"/>
        </w:rPr>
      </w:pPr>
    </w:p>
    <w:p w14:paraId="34B83462">
      <w:pPr>
        <w:pStyle w:val="198"/>
        <w:spacing w:line="360" w:lineRule="auto"/>
        <w:jc w:val="center"/>
        <w:outlineLvl w:val="0"/>
        <w:rPr>
          <w:color w:val="auto"/>
          <w:u w:val="single"/>
        </w:rPr>
      </w:pPr>
      <w:r>
        <w:rPr>
          <w:rFonts w:cs="宋体"/>
          <w:b/>
          <w:bCs/>
          <w:color w:val="auto"/>
          <w:sz w:val="28"/>
          <w:szCs w:val="28"/>
        </w:rPr>
        <w:br w:type="page"/>
      </w:r>
      <w:r>
        <w:rPr>
          <w:rFonts w:hint="eastAsia" w:cs="宋体"/>
          <w:b/>
          <w:color w:val="auto"/>
          <w:sz w:val="32"/>
          <w:szCs w:val="32"/>
        </w:rPr>
        <w:t>专职安全生产管理人员</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297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63B059">
            <w:pPr>
              <w:jc w:val="center"/>
              <w:rPr>
                <w:color w:val="auto"/>
              </w:rPr>
            </w:pPr>
            <w:r>
              <w:rPr>
                <w:rFonts w:hint="eastAsia" w:cs="宋体"/>
                <w:color w:val="auto"/>
              </w:rPr>
              <w:t>姓名</w:t>
            </w:r>
          </w:p>
        </w:tc>
        <w:tc>
          <w:tcPr>
            <w:tcW w:w="2340" w:type="dxa"/>
            <w:gridSpan w:val="5"/>
            <w:vAlign w:val="center"/>
          </w:tcPr>
          <w:p w14:paraId="643E72B6">
            <w:pPr>
              <w:jc w:val="center"/>
              <w:rPr>
                <w:color w:val="auto"/>
              </w:rPr>
            </w:pPr>
          </w:p>
        </w:tc>
        <w:tc>
          <w:tcPr>
            <w:tcW w:w="1893" w:type="dxa"/>
            <w:gridSpan w:val="5"/>
            <w:vAlign w:val="center"/>
          </w:tcPr>
          <w:p w14:paraId="7835FA70">
            <w:pPr>
              <w:jc w:val="center"/>
              <w:rPr>
                <w:color w:val="auto"/>
              </w:rPr>
            </w:pPr>
            <w:r>
              <w:rPr>
                <w:rFonts w:hint="eastAsia" w:cs="宋体"/>
                <w:color w:val="auto"/>
              </w:rPr>
              <w:t>性别</w:t>
            </w:r>
          </w:p>
        </w:tc>
        <w:tc>
          <w:tcPr>
            <w:tcW w:w="1585" w:type="dxa"/>
            <w:gridSpan w:val="3"/>
            <w:vAlign w:val="center"/>
          </w:tcPr>
          <w:p w14:paraId="705D8478">
            <w:pPr>
              <w:jc w:val="center"/>
              <w:rPr>
                <w:color w:val="auto"/>
              </w:rPr>
            </w:pPr>
          </w:p>
        </w:tc>
        <w:tc>
          <w:tcPr>
            <w:tcW w:w="1108" w:type="dxa"/>
            <w:vAlign w:val="center"/>
          </w:tcPr>
          <w:p w14:paraId="641C3A19">
            <w:pPr>
              <w:jc w:val="center"/>
              <w:rPr>
                <w:color w:val="auto"/>
              </w:rPr>
            </w:pPr>
            <w:r>
              <w:rPr>
                <w:rFonts w:hint="eastAsia" w:cs="宋体"/>
                <w:color w:val="auto"/>
              </w:rPr>
              <w:t>年龄</w:t>
            </w:r>
          </w:p>
        </w:tc>
        <w:tc>
          <w:tcPr>
            <w:tcW w:w="1531" w:type="dxa"/>
            <w:gridSpan w:val="4"/>
            <w:vAlign w:val="center"/>
          </w:tcPr>
          <w:p w14:paraId="1B299251">
            <w:pPr>
              <w:jc w:val="center"/>
              <w:rPr>
                <w:color w:val="auto"/>
              </w:rPr>
            </w:pPr>
          </w:p>
        </w:tc>
      </w:tr>
      <w:tr w14:paraId="788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C447242">
            <w:pPr>
              <w:jc w:val="center"/>
              <w:rPr>
                <w:color w:val="auto"/>
              </w:rPr>
            </w:pPr>
            <w:r>
              <w:rPr>
                <w:rFonts w:hint="eastAsia" w:cs="宋体"/>
                <w:color w:val="auto"/>
              </w:rPr>
              <w:t>岗位</w:t>
            </w:r>
          </w:p>
        </w:tc>
        <w:tc>
          <w:tcPr>
            <w:tcW w:w="2340" w:type="dxa"/>
            <w:gridSpan w:val="5"/>
            <w:vAlign w:val="center"/>
          </w:tcPr>
          <w:p w14:paraId="5CA5F77B">
            <w:pPr>
              <w:jc w:val="center"/>
              <w:rPr>
                <w:color w:val="auto"/>
              </w:rPr>
            </w:pPr>
            <w:r>
              <w:rPr>
                <w:rFonts w:hint="eastAsia"/>
                <w:color w:val="auto"/>
              </w:rPr>
              <w:t>专职安全生产管理人员</w:t>
            </w:r>
          </w:p>
        </w:tc>
        <w:tc>
          <w:tcPr>
            <w:tcW w:w="1893" w:type="dxa"/>
            <w:gridSpan w:val="5"/>
            <w:vAlign w:val="center"/>
          </w:tcPr>
          <w:p w14:paraId="19E854B7">
            <w:pPr>
              <w:jc w:val="center"/>
              <w:rPr>
                <w:color w:val="auto"/>
              </w:rPr>
            </w:pPr>
            <w:r>
              <w:rPr>
                <w:rFonts w:hint="eastAsia" w:cs="宋体"/>
                <w:color w:val="auto"/>
              </w:rPr>
              <w:t>职称</w:t>
            </w:r>
          </w:p>
        </w:tc>
        <w:tc>
          <w:tcPr>
            <w:tcW w:w="1585" w:type="dxa"/>
            <w:gridSpan w:val="3"/>
            <w:vAlign w:val="center"/>
          </w:tcPr>
          <w:p w14:paraId="31C2870B">
            <w:pPr>
              <w:jc w:val="center"/>
              <w:rPr>
                <w:color w:val="auto"/>
              </w:rPr>
            </w:pPr>
          </w:p>
        </w:tc>
        <w:tc>
          <w:tcPr>
            <w:tcW w:w="1108" w:type="dxa"/>
            <w:vAlign w:val="center"/>
          </w:tcPr>
          <w:p w14:paraId="46644D46">
            <w:pPr>
              <w:jc w:val="center"/>
              <w:rPr>
                <w:color w:val="auto"/>
              </w:rPr>
            </w:pPr>
            <w:r>
              <w:rPr>
                <w:rFonts w:hint="eastAsia" w:cs="宋体"/>
                <w:color w:val="auto"/>
              </w:rPr>
              <w:t>学历</w:t>
            </w:r>
          </w:p>
        </w:tc>
        <w:tc>
          <w:tcPr>
            <w:tcW w:w="1531" w:type="dxa"/>
            <w:gridSpan w:val="4"/>
            <w:vAlign w:val="center"/>
          </w:tcPr>
          <w:p w14:paraId="0F3D3CBD">
            <w:pPr>
              <w:jc w:val="center"/>
              <w:rPr>
                <w:color w:val="auto"/>
              </w:rPr>
            </w:pPr>
          </w:p>
        </w:tc>
      </w:tr>
      <w:tr w14:paraId="666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3485364">
            <w:pPr>
              <w:jc w:val="center"/>
              <w:rPr>
                <w:rFonts w:cs="宋体"/>
                <w:color w:val="auto"/>
              </w:rPr>
            </w:pPr>
            <w:r>
              <w:rPr>
                <w:rFonts w:hint="eastAsia" w:cs="宋体"/>
                <w:color w:val="auto"/>
              </w:rPr>
              <w:t>从业开始时间</w:t>
            </w:r>
          </w:p>
        </w:tc>
        <w:tc>
          <w:tcPr>
            <w:tcW w:w="2340" w:type="dxa"/>
            <w:gridSpan w:val="5"/>
            <w:vAlign w:val="center"/>
          </w:tcPr>
          <w:p w14:paraId="4BE466F5">
            <w:pPr>
              <w:jc w:val="center"/>
              <w:rPr>
                <w:color w:val="auto"/>
              </w:rPr>
            </w:pPr>
          </w:p>
        </w:tc>
        <w:tc>
          <w:tcPr>
            <w:tcW w:w="1893" w:type="dxa"/>
            <w:gridSpan w:val="5"/>
            <w:vAlign w:val="center"/>
          </w:tcPr>
          <w:p w14:paraId="0E4E2DC3">
            <w:pPr>
              <w:jc w:val="center"/>
              <w:rPr>
                <w:rFonts w:cs="宋体"/>
                <w:color w:val="auto"/>
              </w:rPr>
            </w:pPr>
            <w:r>
              <w:rPr>
                <w:rFonts w:hint="eastAsia" w:cs="宋体"/>
                <w:color w:val="auto"/>
              </w:rPr>
              <w:t>职称获得时间</w:t>
            </w:r>
          </w:p>
        </w:tc>
        <w:tc>
          <w:tcPr>
            <w:tcW w:w="1585" w:type="dxa"/>
            <w:gridSpan w:val="3"/>
            <w:vAlign w:val="center"/>
          </w:tcPr>
          <w:p w14:paraId="4F1F51DF">
            <w:pPr>
              <w:jc w:val="center"/>
              <w:rPr>
                <w:color w:val="auto"/>
              </w:rPr>
            </w:pPr>
          </w:p>
        </w:tc>
        <w:tc>
          <w:tcPr>
            <w:tcW w:w="1108" w:type="dxa"/>
            <w:vAlign w:val="center"/>
          </w:tcPr>
          <w:p w14:paraId="5EFA5753">
            <w:pPr>
              <w:jc w:val="center"/>
              <w:rPr>
                <w:rFonts w:cs="宋体"/>
                <w:color w:val="auto"/>
              </w:rPr>
            </w:pPr>
            <w:r>
              <w:rPr>
                <w:rFonts w:hint="eastAsia" w:cs="宋体"/>
                <w:color w:val="auto"/>
              </w:rPr>
              <w:t>毕业时间</w:t>
            </w:r>
          </w:p>
        </w:tc>
        <w:tc>
          <w:tcPr>
            <w:tcW w:w="1531" w:type="dxa"/>
            <w:gridSpan w:val="4"/>
            <w:vAlign w:val="center"/>
          </w:tcPr>
          <w:p w14:paraId="5FE9F350">
            <w:pPr>
              <w:jc w:val="center"/>
              <w:rPr>
                <w:color w:val="auto"/>
              </w:rPr>
            </w:pPr>
          </w:p>
        </w:tc>
      </w:tr>
      <w:tr w14:paraId="70F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91DBC55">
            <w:pPr>
              <w:jc w:val="center"/>
              <w:rPr>
                <w:color w:val="auto"/>
              </w:rPr>
            </w:pPr>
            <w:r>
              <w:rPr>
                <w:rFonts w:hint="eastAsia" w:cs="宋体"/>
                <w:color w:val="auto"/>
              </w:rPr>
              <w:t>担任……年限</w:t>
            </w:r>
          </w:p>
        </w:tc>
        <w:tc>
          <w:tcPr>
            <w:tcW w:w="2563" w:type="dxa"/>
            <w:gridSpan w:val="6"/>
            <w:vAlign w:val="center"/>
          </w:tcPr>
          <w:p w14:paraId="055A3009">
            <w:pPr>
              <w:jc w:val="center"/>
              <w:rPr>
                <w:color w:val="auto"/>
              </w:rPr>
            </w:pPr>
          </w:p>
        </w:tc>
        <w:tc>
          <w:tcPr>
            <w:tcW w:w="1209" w:type="dxa"/>
            <w:vAlign w:val="center"/>
          </w:tcPr>
          <w:p w14:paraId="3CC53F73">
            <w:pPr>
              <w:jc w:val="center"/>
              <w:rPr>
                <w:color w:val="auto"/>
              </w:rPr>
            </w:pPr>
            <w:r>
              <w:rPr>
                <w:rFonts w:hint="eastAsia"/>
                <w:color w:val="auto"/>
              </w:rPr>
              <w:t>身份证号码</w:t>
            </w:r>
          </w:p>
        </w:tc>
        <w:tc>
          <w:tcPr>
            <w:tcW w:w="4608" w:type="dxa"/>
            <w:gridSpan w:val="10"/>
            <w:vAlign w:val="center"/>
          </w:tcPr>
          <w:p w14:paraId="5A018257">
            <w:pPr>
              <w:jc w:val="center"/>
              <w:rPr>
                <w:color w:val="auto"/>
              </w:rPr>
            </w:pPr>
          </w:p>
        </w:tc>
      </w:tr>
      <w:tr w14:paraId="73B3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A4B1FD1">
            <w:pPr>
              <w:jc w:val="center"/>
              <w:rPr>
                <w:color w:val="auto"/>
              </w:rPr>
            </w:pPr>
            <w:r>
              <w:rPr>
                <w:rFonts w:hint="eastAsia"/>
                <w:color w:val="auto"/>
              </w:rPr>
              <w:t>证书名称</w:t>
            </w:r>
          </w:p>
        </w:tc>
        <w:tc>
          <w:tcPr>
            <w:tcW w:w="1275" w:type="dxa"/>
            <w:gridSpan w:val="2"/>
            <w:vAlign w:val="center"/>
          </w:tcPr>
          <w:p w14:paraId="6B35BDE2">
            <w:pPr>
              <w:jc w:val="center"/>
              <w:rPr>
                <w:color w:val="auto"/>
              </w:rPr>
            </w:pPr>
            <w:r>
              <w:rPr>
                <w:rFonts w:hint="eastAsia"/>
                <w:color w:val="auto"/>
              </w:rPr>
              <w:t>注册专业</w:t>
            </w:r>
          </w:p>
        </w:tc>
        <w:tc>
          <w:tcPr>
            <w:tcW w:w="1222" w:type="dxa"/>
            <w:gridSpan w:val="3"/>
            <w:vAlign w:val="center"/>
          </w:tcPr>
          <w:p w14:paraId="135F520D">
            <w:pPr>
              <w:jc w:val="center"/>
              <w:rPr>
                <w:color w:val="auto"/>
              </w:rPr>
            </w:pPr>
            <w:r>
              <w:rPr>
                <w:rFonts w:hint="eastAsia"/>
                <w:color w:val="auto"/>
              </w:rPr>
              <w:t>级别</w:t>
            </w:r>
          </w:p>
        </w:tc>
        <w:tc>
          <w:tcPr>
            <w:tcW w:w="1417" w:type="dxa"/>
            <w:gridSpan w:val="3"/>
            <w:vAlign w:val="center"/>
          </w:tcPr>
          <w:p w14:paraId="79A2563D">
            <w:pPr>
              <w:jc w:val="center"/>
              <w:rPr>
                <w:color w:val="auto"/>
              </w:rPr>
            </w:pPr>
            <w:r>
              <w:rPr>
                <w:rFonts w:hint="eastAsia" w:cs="宋体"/>
                <w:color w:val="auto"/>
              </w:rPr>
              <w:t>证书编号</w:t>
            </w:r>
          </w:p>
        </w:tc>
        <w:tc>
          <w:tcPr>
            <w:tcW w:w="1418" w:type="dxa"/>
            <w:gridSpan w:val="3"/>
            <w:vAlign w:val="center"/>
          </w:tcPr>
          <w:p w14:paraId="74D2D9E0">
            <w:pPr>
              <w:jc w:val="center"/>
              <w:rPr>
                <w:color w:val="auto"/>
              </w:rPr>
            </w:pPr>
            <w:r>
              <w:rPr>
                <w:rFonts w:hint="eastAsia"/>
                <w:color w:val="auto"/>
              </w:rPr>
              <w:t>注册时间</w:t>
            </w:r>
          </w:p>
        </w:tc>
        <w:tc>
          <w:tcPr>
            <w:tcW w:w="1632" w:type="dxa"/>
            <w:gridSpan w:val="4"/>
            <w:vAlign w:val="center"/>
          </w:tcPr>
          <w:p w14:paraId="0DF30E00">
            <w:pPr>
              <w:jc w:val="center"/>
              <w:rPr>
                <w:color w:val="auto"/>
              </w:rPr>
            </w:pPr>
            <w:r>
              <w:rPr>
                <w:rFonts w:hint="eastAsia"/>
                <w:color w:val="auto"/>
              </w:rPr>
              <w:t>注册单位</w:t>
            </w:r>
          </w:p>
        </w:tc>
        <w:tc>
          <w:tcPr>
            <w:tcW w:w="1416" w:type="dxa"/>
            <w:gridSpan w:val="2"/>
            <w:vAlign w:val="center"/>
          </w:tcPr>
          <w:p w14:paraId="6D2E40DE">
            <w:pPr>
              <w:jc w:val="center"/>
              <w:rPr>
                <w:color w:val="auto"/>
              </w:rPr>
            </w:pPr>
            <w:r>
              <w:rPr>
                <w:rFonts w:hint="eastAsia"/>
                <w:color w:val="auto"/>
              </w:rPr>
              <w:t>注册有效期</w:t>
            </w:r>
          </w:p>
        </w:tc>
      </w:tr>
      <w:tr w14:paraId="5F98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B355FCC">
            <w:pPr>
              <w:jc w:val="center"/>
              <w:rPr>
                <w:color w:val="auto"/>
              </w:rPr>
            </w:pPr>
            <w:r>
              <w:rPr>
                <w:rFonts w:hint="eastAsia"/>
                <w:color w:val="auto"/>
              </w:rPr>
              <w:t>安全生产考核合格证书</w:t>
            </w:r>
          </w:p>
        </w:tc>
        <w:tc>
          <w:tcPr>
            <w:tcW w:w="1275" w:type="dxa"/>
            <w:gridSpan w:val="2"/>
            <w:vAlign w:val="center"/>
          </w:tcPr>
          <w:p w14:paraId="1D92FE0F">
            <w:pPr>
              <w:jc w:val="center"/>
              <w:rPr>
                <w:color w:val="auto"/>
              </w:rPr>
            </w:pPr>
          </w:p>
        </w:tc>
        <w:tc>
          <w:tcPr>
            <w:tcW w:w="1222" w:type="dxa"/>
            <w:gridSpan w:val="3"/>
            <w:vAlign w:val="center"/>
          </w:tcPr>
          <w:p w14:paraId="23494283">
            <w:pPr>
              <w:jc w:val="center"/>
              <w:rPr>
                <w:rFonts w:cs="宋体"/>
                <w:color w:val="auto"/>
              </w:rPr>
            </w:pPr>
            <w:r>
              <w:rPr>
                <w:rFonts w:cs="宋体"/>
                <w:color w:val="auto"/>
              </w:rPr>
              <w:t>C</w:t>
            </w:r>
            <w:r>
              <w:rPr>
                <w:rFonts w:hint="eastAsia" w:cs="宋体"/>
                <w:color w:val="auto"/>
              </w:rPr>
              <w:t>类</w:t>
            </w:r>
          </w:p>
        </w:tc>
        <w:tc>
          <w:tcPr>
            <w:tcW w:w="1417" w:type="dxa"/>
            <w:gridSpan w:val="3"/>
            <w:vAlign w:val="center"/>
          </w:tcPr>
          <w:p w14:paraId="013F4F5F">
            <w:pPr>
              <w:jc w:val="center"/>
              <w:rPr>
                <w:color w:val="auto"/>
              </w:rPr>
            </w:pPr>
          </w:p>
        </w:tc>
        <w:tc>
          <w:tcPr>
            <w:tcW w:w="1418" w:type="dxa"/>
            <w:gridSpan w:val="3"/>
            <w:vAlign w:val="center"/>
          </w:tcPr>
          <w:p w14:paraId="39CC49BC">
            <w:pPr>
              <w:jc w:val="center"/>
              <w:rPr>
                <w:color w:val="auto"/>
              </w:rPr>
            </w:pPr>
          </w:p>
        </w:tc>
        <w:tc>
          <w:tcPr>
            <w:tcW w:w="1632" w:type="dxa"/>
            <w:gridSpan w:val="4"/>
            <w:vAlign w:val="center"/>
          </w:tcPr>
          <w:p w14:paraId="62E1AA7D">
            <w:pPr>
              <w:jc w:val="center"/>
              <w:rPr>
                <w:color w:val="auto"/>
              </w:rPr>
            </w:pPr>
          </w:p>
        </w:tc>
        <w:tc>
          <w:tcPr>
            <w:tcW w:w="1416" w:type="dxa"/>
            <w:gridSpan w:val="2"/>
            <w:vAlign w:val="center"/>
          </w:tcPr>
          <w:p w14:paraId="247E5373">
            <w:pPr>
              <w:jc w:val="center"/>
              <w:rPr>
                <w:color w:val="auto"/>
              </w:rPr>
            </w:pPr>
          </w:p>
        </w:tc>
      </w:tr>
      <w:tr w14:paraId="4924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7CE9DF9">
            <w:pPr>
              <w:jc w:val="center"/>
              <w:rPr>
                <w:color w:val="auto"/>
              </w:rPr>
            </w:pPr>
          </w:p>
        </w:tc>
        <w:tc>
          <w:tcPr>
            <w:tcW w:w="1275" w:type="dxa"/>
            <w:gridSpan w:val="2"/>
            <w:vAlign w:val="center"/>
          </w:tcPr>
          <w:p w14:paraId="40B59758">
            <w:pPr>
              <w:jc w:val="center"/>
              <w:rPr>
                <w:color w:val="auto"/>
              </w:rPr>
            </w:pPr>
          </w:p>
        </w:tc>
        <w:tc>
          <w:tcPr>
            <w:tcW w:w="1222" w:type="dxa"/>
            <w:gridSpan w:val="3"/>
            <w:vAlign w:val="center"/>
          </w:tcPr>
          <w:p w14:paraId="7FE41E13">
            <w:pPr>
              <w:jc w:val="center"/>
              <w:rPr>
                <w:rFonts w:cs="宋体"/>
                <w:color w:val="auto"/>
              </w:rPr>
            </w:pPr>
          </w:p>
        </w:tc>
        <w:tc>
          <w:tcPr>
            <w:tcW w:w="1417" w:type="dxa"/>
            <w:gridSpan w:val="3"/>
            <w:vAlign w:val="center"/>
          </w:tcPr>
          <w:p w14:paraId="71D123D4">
            <w:pPr>
              <w:jc w:val="center"/>
              <w:rPr>
                <w:color w:val="auto"/>
              </w:rPr>
            </w:pPr>
          </w:p>
        </w:tc>
        <w:tc>
          <w:tcPr>
            <w:tcW w:w="1418" w:type="dxa"/>
            <w:gridSpan w:val="3"/>
            <w:vAlign w:val="center"/>
          </w:tcPr>
          <w:p w14:paraId="3C921CBD">
            <w:pPr>
              <w:jc w:val="center"/>
              <w:rPr>
                <w:color w:val="auto"/>
              </w:rPr>
            </w:pPr>
          </w:p>
        </w:tc>
        <w:tc>
          <w:tcPr>
            <w:tcW w:w="1632" w:type="dxa"/>
            <w:gridSpan w:val="4"/>
            <w:vAlign w:val="center"/>
          </w:tcPr>
          <w:p w14:paraId="59C5BDC6">
            <w:pPr>
              <w:jc w:val="center"/>
              <w:rPr>
                <w:color w:val="auto"/>
              </w:rPr>
            </w:pPr>
          </w:p>
        </w:tc>
        <w:tc>
          <w:tcPr>
            <w:tcW w:w="1416" w:type="dxa"/>
            <w:gridSpan w:val="2"/>
            <w:vAlign w:val="center"/>
          </w:tcPr>
          <w:p w14:paraId="70339D0C">
            <w:pPr>
              <w:jc w:val="center"/>
              <w:rPr>
                <w:color w:val="auto"/>
              </w:rPr>
            </w:pPr>
          </w:p>
        </w:tc>
      </w:tr>
      <w:tr w14:paraId="0826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5168F1C3">
            <w:pPr>
              <w:jc w:val="center"/>
              <w:rPr>
                <w:color w:val="auto"/>
              </w:rPr>
            </w:pPr>
            <w:r>
              <w:rPr>
                <w:rFonts w:hint="eastAsia" w:cs="宋体"/>
                <w:color w:val="auto"/>
              </w:rPr>
              <w:t>在建和已完工程项目情况</w:t>
            </w:r>
          </w:p>
        </w:tc>
      </w:tr>
      <w:tr w14:paraId="0D78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CA26AE5">
            <w:pPr>
              <w:jc w:val="center"/>
              <w:rPr>
                <w:color w:val="auto"/>
              </w:rPr>
            </w:pPr>
          </w:p>
        </w:tc>
        <w:tc>
          <w:tcPr>
            <w:tcW w:w="1548" w:type="dxa"/>
            <w:gridSpan w:val="2"/>
            <w:vAlign w:val="center"/>
          </w:tcPr>
          <w:p w14:paraId="6A99DFEB">
            <w:pPr>
              <w:jc w:val="center"/>
              <w:rPr>
                <w:color w:val="auto"/>
              </w:rPr>
            </w:pPr>
            <w:r>
              <w:rPr>
                <w:rFonts w:hint="eastAsia"/>
                <w:color w:val="auto"/>
              </w:rPr>
              <w:t>项目</w:t>
            </w:r>
            <w:r>
              <w:rPr>
                <w:color w:val="auto"/>
              </w:rPr>
              <w:t>1</w:t>
            </w:r>
          </w:p>
        </w:tc>
        <w:tc>
          <w:tcPr>
            <w:tcW w:w="1837" w:type="dxa"/>
            <w:gridSpan w:val="4"/>
            <w:vAlign w:val="center"/>
          </w:tcPr>
          <w:p w14:paraId="208DCB57">
            <w:pPr>
              <w:jc w:val="center"/>
              <w:rPr>
                <w:color w:val="auto"/>
              </w:rPr>
            </w:pPr>
            <w:r>
              <w:rPr>
                <w:rFonts w:hint="eastAsia"/>
                <w:color w:val="auto"/>
              </w:rPr>
              <w:t>项目</w:t>
            </w:r>
            <w:r>
              <w:rPr>
                <w:color w:val="auto"/>
              </w:rPr>
              <w:t>2</w:t>
            </w:r>
          </w:p>
        </w:tc>
        <w:tc>
          <w:tcPr>
            <w:tcW w:w="1472" w:type="dxa"/>
            <w:gridSpan w:val="3"/>
            <w:vAlign w:val="center"/>
          </w:tcPr>
          <w:p w14:paraId="062FC34C">
            <w:pPr>
              <w:jc w:val="center"/>
              <w:rPr>
                <w:color w:val="auto"/>
              </w:rPr>
            </w:pPr>
            <w:r>
              <w:rPr>
                <w:rFonts w:hint="eastAsia"/>
                <w:color w:val="auto"/>
              </w:rPr>
              <w:t>项目</w:t>
            </w:r>
            <w:r>
              <w:rPr>
                <w:color w:val="auto"/>
              </w:rPr>
              <w:t>3</w:t>
            </w:r>
          </w:p>
        </w:tc>
        <w:tc>
          <w:tcPr>
            <w:tcW w:w="1641" w:type="dxa"/>
            <w:gridSpan w:val="4"/>
            <w:vAlign w:val="center"/>
          </w:tcPr>
          <w:p w14:paraId="66046BD6">
            <w:pPr>
              <w:jc w:val="center"/>
              <w:rPr>
                <w:color w:val="auto"/>
              </w:rPr>
            </w:pPr>
            <w:r>
              <w:rPr>
                <w:rFonts w:hint="eastAsia"/>
                <w:color w:val="auto"/>
              </w:rPr>
              <w:t>项目</w:t>
            </w:r>
            <w:r>
              <w:rPr>
                <w:color w:val="auto"/>
              </w:rPr>
              <w:t>4</w:t>
            </w:r>
          </w:p>
        </w:tc>
        <w:tc>
          <w:tcPr>
            <w:tcW w:w="1484" w:type="dxa"/>
            <w:gridSpan w:val="2"/>
            <w:vAlign w:val="center"/>
          </w:tcPr>
          <w:p w14:paraId="7C39B33C">
            <w:pPr>
              <w:jc w:val="center"/>
              <w:rPr>
                <w:color w:val="auto"/>
              </w:rPr>
            </w:pPr>
            <w:r>
              <w:rPr>
                <w:rFonts w:hint="eastAsia"/>
                <w:color w:val="auto"/>
              </w:rPr>
              <w:t>……</w:t>
            </w:r>
          </w:p>
        </w:tc>
      </w:tr>
      <w:tr w14:paraId="55F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3968BF3">
            <w:pPr>
              <w:jc w:val="center"/>
              <w:rPr>
                <w:color w:val="auto"/>
              </w:rPr>
            </w:pPr>
            <w:r>
              <w:rPr>
                <w:rFonts w:hint="eastAsia"/>
                <w:color w:val="auto"/>
              </w:rPr>
              <w:t>项目名称</w:t>
            </w:r>
          </w:p>
        </w:tc>
        <w:tc>
          <w:tcPr>
            <w:tcW w:w="1548" w:type="dxa"/>
            <w:gridSpan w:val="2"/>
            <w:vAlign w:val="center"/>
          </w:tcPr>
          <w:p w14:paraId="6C1528F3">
            <w:pPr>
              <w:jc w:val="center"/>
              <w:rPr>
                <w:color w:val="auto"/>
              </w:rPr>
            </w:pPr>
          </w:p>
        </w:tc>
        <w:tc>
          <w:tcPr>
            <w:tcW w:w="1837" w:type="dxa"/>
            <w:gridSpan w:val="4"/>
            <w:vAlign w:val="center"/>
          </w:tcPr>
          <w:p w14:paraId="4E3DB904">
            <w:pPr>
              <w:jc w:val="center"/>
              <w:rPr>
                <w:color w:val="auto"/>
              </w:rPr>
            </w:pPr>
          </w:p>
        </w:tc>
        <w:tc>
          <w:tcPr>
            <w:tcW w:w="1472" w:type="dxa"/>
            <w:gridSpan w:val="3"/>
            <w:vAlign w:val="center"/>
          </w:tcPr>
          <w:p w14:paraId="2DBBDDF6">
            <w:pPr>
              <w:jc w:val="center"/>
              <w:rPr>
                <w:color w:val="auto"/>
              </w:rPr>
            </w:pPr>
          </w:p>
        </w:tc>
        <w:tc>
          <w:tcPr>
            <w:tcW w:w="1641" w:type="dxa"/>
            <w:gridSpan w:val="4"/>
            <w:vAlign w:val="center"/>
          </w:tcPr>
          <w:p w14:paraId="19309ED3">
            <w:pPr>
              <w:jc w:val="center"/>
              <w:rPr>
                <w:color w:val="auto"/>
              </w:rPr>
            </w:pPr>
          </w:p>
        </w:tc>
        <w:tc>
          <w:tcPr>
            <w:tcW w:w="1484" w:type="dxa"/>
            <w:gridSpan w:val="2"/>
            <w:vAlign w:val="center"/>
          </w:tcPr>
          <w:p w14:paraId="74A440FC">
            <w:pPr>
              <w:jc w:val="center"/>
              <w:rPr>
                <w:color w:val="auto"/>
              </w:rPr>
            </w:pPr>
          </w:p>
        </w:tc>
      </w:tr>
      <w:tr w14:paraId="49AB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F67B63D">
            <w:pPr>
              <w:jc w:val="center"/>
              <w:rPr>
                <w:color w:val="auto"/>
              </w:rPr>
            </w:pPr>
            <w:r>
              <w:rPr>
                <w:rFonts w:hint="eastAsia" w:cs="宋体"/>
                <w:color w:val="auto"/>
              </w:rPr>
              <w:t>建设单位</w:t>
            </w:r>
          </w:p>
        </w:tc>
        <w:tc>
          <w:tcPr>
            <w:tcW w:w="1548" w:type="dxa"/>
            <w:gridSpan w:val="2"/>
            <w:vAlign w:val="center"/>
          </w:tcPr>
          <w:p w14:paraId="55762C98">
            <w:pPr>
              <w:jc w:val="center"/>
              <w:rPr>
                <w:color w:val="auto"/>
              </w:rPr>
            </w:pPr>
          </w:p>
        </w:tc>
        <w:tc>
          <w:tcPr>
            <w:tcW w:w="1837" w:type="dxa"/>
            <w:gridSpan w:val="4"/>
            <w:vAlign w:val="center"/>
          </w:tcPr>
          <w:p w14:paraId="0717815B">
            <w:pPr>
              <w:jc w:val="center"/>
              <w:rPr>
                <w:color w:val="auto"/>
              </w:rPr>
            </w:pPr>
          </w:p>
        </w:tc>
        <w:tc>
          <w:tcPr>
            <w:tcW w:w="1472" w:type="dxa"/>
            <w:gridSpan w:val="3"/>
            <w:vAlign w:val="center"/>
          </w:tcPr>
          <w:p w14:paraId="705A6649">
            <w:pPr>
              <w:jc w:val="center"/>
              <w:rPr>
                <w:color w:val="auto"/>
              </w:rPr>
            </w:pPr>
          </w:p>
        </w:tc>
        <w:tc>
          <w:tcPr>
            <w:tcW w:w="1641" w:type="dxa"/>
            <w:gridSpan w:val="4"/>
            <w:vAlign w:val="center"/>
          </w:tcPr>
          <w:p w14:paraId="4EA4191C">
            <w:pPr>
              <w:jc w:val="center"/>
              <w:rPr>
                <w:color w:val="auto"/>
              </w:rPr>
            </w:pPr>
          </w:p>
        </w:tc>
        <w:tc>
          <w:tcPr>
            <w:tcW w:w="1484" w:type="dxa"/>
            <w:gridSpan w:val="2"/>
            <w:vAlign w:val="center"/>
          </w:tcPr>
          <w:p w14:paraId="3906C18B">
            <w:pPr>
              <w:jc w:val="center"/>
              <w:rPr>
                <w:color w:val="auto"/>
              </w:rPr>
            </w:pPr>
          </w:p>
        </w:tc>
      </w:tr>
      <w:tr w14:paraId="7005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A0A0643">
            <w:pPr>
              <w:jc w:val="center"/>
              <w:rPr>
                <w:color w:val="auto"/>
              </w:rPr>
            </w:pPr>
            <w:r>
              <w:rPr>
                <w:rFonts w:hint="eastAsia" w:cs="宋体"/>
                <w:color w:val="auto"/>
              </w:rPr>
              <w:t>建设规模</w:t>
            </w:r>
          </w:p>
        </w:tc>
        <w:tc>
          <w:tcPr>
            <w:tcW w:w="1548" w:type="dxa"/>
            <w:gridSpan w:val="2"/>
            <w:vAlign w:val="center"/>
          </w:tcPr>
          <w:p w14:paraId="0B138C3B">
            <w:pPr>
              <w:jc w:val="center"/>
              <w:rPr>
                <w:color w:val="auto"/>
              </w:rPr>
            </w:pPr>
          </w:p>
        </w:tc>
        <w:tc>
          <w:tcPr>
            <w:tcW w:w="1837" w:type="dxa"/>
            <w:gridSpan w:val="4"/>
            <w:vAlign w:val="center"/>
          </w:tcPr>
          <w:p w14:paraId="2EDB86EB">
            <w:pPr>
              <w:jc w:val="center"/>
              <w:rPr>
                <w:color w:val="auto"/>
              </w:rPr>
            </w:pPr>
          </w:p>
        </w:tc>
        <w:tc>
          <w:tcPr>
            <w:tcW w:w="1472" w:type="dxa"/>
            <w:gridSpan w:val="3"/>
            <w:vAlign w:val="center"/>
          </w:tcPr>
          <w:p w14:paraId="1209D5D0">
            <w:pPr>
              <w:jc w:val="center"/>
              <w:rPr>
                <w:color w:val="auto"/>
              </w:rPr>
            </w:pPr>
          </w:p>
        </w:tc>
        <w:tc>
          <w:tcPr>
            <w:tcW w:w="1641" w:type="dxa"/>
            <w:gridSpan w:val="4"/>
            <w:vAlign w:val="center"/>
          </w:tcPr>
          <w:p w14:paraId="60E06C1F">
            <w:pPr>
              <w:jc w:val="center"/>
              <w:rPr>
                <w:color w:val="auto"/>
              </w:rPr>
            </w:pPr>
          </w:p>
        </w:tc>
        <w:tc>
          <w:tcPr>
            <w:tcW w:w="1484" w:type="dxa"/>
            <w:gridSpan w:val="2"/>
            <w:vAlign w:val="center"/>
          </w:tcPr>
          <w:p w14:paraId="02BFE877">
            <w:pPr>
              <w:jc w:val="center"/>
              <w:rPr>
                <w:color w:val="auto"/>
              </w:rPr>
            </w:pPr>
          </w:p>
        </w:tc>
      </w:tr>
      <w:tr w14:paraId="4100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A9C309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51399D0A">
            <w:pPr>
              <w:jc w:val="center"/>
              <w:rPr>
                <w:color w:val="auto"/>
              </w:rPr>
            </w:pPr>
          </w:p>
        </w:tc>
        <w:tc>
          <w:tcPr>
            <w:tcW w:w="1837" w:type="dxa"/>
            <w:gridSpan w:val="4"/>
            <w:vAlign w:val="center"/>
          </w:tcPr>
          <w:p w14:paraId="1FA8B9A8">
            <w:pPr>
              <w:jc w:val="center"/>
              <w:rPr>
                <w:color w:val="auto"/>
              </w:rPr>
            </w:pPr>
          </w:p>
        </w:tc>
        <w:tc>
          <w:tcPr>
            <w:tcW w:w="1472" w:type="dxa"/>
            <w:gridSpan w:val="3"/>
            <w:vAlign w:val="center"/>
          </w:tcPr>
          <w:p w14:paraId="47248AF8">
            <w:pPr>
              <w:jc w:val="center"/>
              <w:rPr>
                <w:color w:val="auto"/>
              </w:rPr>
            </w:pPr>
          </w:p>
        </w:tc>
        <w:tc>
          <w:tcPr>
            <w:tcW w:w="1641" w:type="dxa"/>
            <w:gridSpan w:val="4"/>
            <w:vAlign w:val="center"/>
          </w:tcPr>
          <w:p w14:paraId="044C96B9">
            <w:pPr>
              <w:jc w:val="center"/>
              <w:rPr>
                <w:color w:val="auto"/>
              </w:rPr>
            </w:pPr>
          </w:p>
        </w:tc>
        <w:tc>
          <w:tcPr>
            <w:tcW w:w="1484" w:type="dxa"/>
            <w:gridSpan w:val="2"/>
            <w:vAlign w:val="center"/>
          </w:tcPr>
          <w:p w14:paraId="1FEB1BF7">
            <w:pPr>
              <w:jc w:val="center"/>
              <w:rPr>
                <w:color w:val="auto"/>
              </w:rPr>
            </w:pPr>
          </w:p>
        </w:tc>
      </w:tr>
      <w:tr w14:paraId="3673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EEBADBA">
            <w:pPr>
              <w:jc w:val="center"/>
              <w:rPr>
                <w:color w:val="auto"/>
              </w:rPr>
            </w:pPr>
            <w:r>
              <w:rPr>
                <w:rFonts w:hint="eastAsia" w:cs="宋体"/>
                <w:color w:val="auto"/>
              </w:rPr>
              <w:t>竣工日期</w:t>
            </w:r>
          </w:p>
        </w:tc>
        <w:tc>
          <w:tcPr>
            <w:tcW w:w="1548" w:type="dxa"/>
            <w:gridSpan w:val="2"/>
            <w:vAlign w:val="center"/>
          </w:tcPr>
          <w:p w14:paraId="42A29506">
            <w:pPr>
              <w:jc w:val="center"/>
              <w:rPr>
                <w:color w:val="auto"/>
              </w:rPr>
            </w:pPr>
          </w:p>
        </w:tc>
        <w:tc>
          <w:tcPr>
            <w:tcW w:w="1837" w:type="dxa"/>
            <w:gridSpan w:val="4"/>
            <w:vAlign w:val="center"/>
          </w:tcPr>
          <w:p w14:paraId="5AFBFC03">
            <w:pPr>
              <w:jc w:val="center"/>
              <w:rPr>
                <w:color w:val="auto"/>
              </w:rPr>
            </w:pPr>
          </w:p>
        </w:tc>
        <w:tc>
          <w:tcPr>
            <w:tcW w:w="1472" w:type="dxa"/>
            <w:gridSpan w:val="3"/>
            <w:vAlign w:val="center"/>
          </w:tcPr>
          <w:p w14:paraId="0142CD58">
            <w:pPr>
              <w:jc w:val="center"/>
              <w:rPr>
                <w:color w:val="auto"/>
              </w:rPr>
            </w:pPr>
          </w:p>
        </w:tc>
        <w:tc>
          <w:tcPr>
            <w:tcW w:w="1641" w:type="dxa"/>
            <w:gridSpan w:val="4"/>
            <w:vAlign w:val="center"/>
          </w:tcPr>
          <w:p w14:paraId="11145DF3">
            <w:pPr>
              <w:jc w:val="center"/>
              <w:rPr>
                <w:color w:val="auto"/>
              </w:rPr>
            </w:pPr>
          </w:p>
        </w:tc>
        <w:tc>
          <w:tcPr>
            <w:tcW w:w="1484" w:type="dxa"/>
            <w:gridSpan w:val="2"/>
            <w:vAlign w:val="center"/>
          </w:tcPr>
          <w:p w14:paraId="7AB74DCB">
            <w:pPr>
              <w:jc w:val="center"/>
              <w:rPr>
                <w:color w:val="auto"/>
              </w:rPr>
            </w:pPr>
          </w:p>
        </w:tc>
      </w:tr>
      <w:tr w14:paraId="39B8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D41A1D3">
            <w:pPr>
              <w:jc w:val="center"/>
              <w:rPr>
                <w:rFonts w:cs="宋体"/>
                <w:color w:val="auto"/>
              </w:rPr>
            </w:pPr>
            <w:r>
              <w:rPr>
                <w:rFonts w:hint="eastAsia" w:cs="宋体"/>
                <w:color w:val="auto"/>
              </w:rPr>
              <w:t>人员角色</w:t>
            </w:r>
          </w:p>
        </w:tc>
        <w:tc>
          <w:tcPr>
            <w:tcW w:w="1548" w:type="dxa"/>
            <w:gridSpan w:val="2"/>
            <w:vAlign w:val="center"/>
          </w:tcPr>
          <w:p w14:paraId="7C5BC230">
            <w:pPr>
              <w:jc w:val="center"/>
              <w:rPr>
                <w:color w:val="auto"/>
              </w:rPr>
            </w:pPr>
          </w:p>
        </w:tc>
        <w:tc>
          <w:tcPr>
            <w:tcW w:w="1837" w:type="dxa"/>
            <w:gridSpan w:val="4"/>
            <w:vAlign w:val="center"/>
          </w:tcPr>
          <w:p w14:paraId="0ADDC8FC">
            <w:pPr>
              <w:jc w:val="center"/>
              <w:rPr>
                <w:color w:val="auto"/>
              </w:rPr>
            </w:pPr>
          </w:p>
        </w:tc>
        <w:tc>
          <w:tcPr>
            <w:tcW w:w="1472" w:type="dxa"/>
            <w:gridSpan w:val="3"/>
            <w:vAlign w:val="center"/>
          </w:tcPr>
          <w:p w14:paraId="287BED3C">
            <w:pPr>
              <w:jc w:val="center"/>
              <w:rPr>
                <w:color w:val="auto"/>
              </w:rPr>
            </w:pPr>
          </w:p>
        </w:tc>
        <w:tc>
          <w:tcPr>
            <w:tcW w:w="1641" w:type="dxa"/>
            <w:gridSpan w:val="4"/>
            <w:vAlign w:val="center"/>
          </w:tcPr>
          <w:p w14:paraId="2C24B787">
            <w:pPr>
              <w:jc w:val="center"/>
              <w:rPr>
                <w:color w:val="auto"/>
              </w:rPr>
            </w:pPr>
          </w:p>
        </w:tc>
        <w:tc>
          <w:tcPr>
            <w:tcW w:w="1484" w:type="dxa"/>
            <w:gridSpan w:val="2"/>
            <w:vAlign w:val="center"/>
          </w:tcPr>
          <w:p w14:paraId="08A7B418">
            <w:pPr>
              <w:jc w:val="center"/>
              <w:rPr>
                <w:color w:val="auto"/>
              </w:rPr>
            </w:pPr>
          </w:p>
        </w:tc>
      </w:tr>
      <w:tr w14:paraId="4BC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124D7BF">
            <w:pPr>
              <w:jc w:val="center"/>
              <w:rPr>
                <w:rFonts w:cs="宋体"/>
                <w:color w:val="auto"/>
              </w:rPr>
            </w:pPr>
            <w:r>
              <w:rPr>
                <w:rFonts w:hint="eastAsia" w:cs="宋体"/>
                <w:color w:val="auto"/>
              </w:rPr>
              <w:t>在建或已完</w:t>
            </w:r>
          </w:p>
        </w:tc>
        <w:tc>
          <w:tcPr>
            <w:tcW w:w="1548" w:type="dxa"/>
            <w:gridSpan w:val="2"/>
            <w:vAlign w:val="center"/>
          </w:tcPr>
          <w:p w14:paraId="2C3D5E71">
            <w:pPr>
              <w:jc w:val="center"/>
              <w:rPr>
                <w:color w:val="auto"/>
              </w:rPr>
            </w:pPr>
          </w:p>
        </w:tc>
        <w:tc>
          <w:tcPr>
            <w:tcW w:w="1837" w:type="dxa"/>
            <w:gridSpan w:val="4"/>
            <w:vAlign w:val="center"/>
          </w:tcPr>
          <w:p w14:paraId="0A0AA7D0">
            <w:pPr>
              <w:jc w:val="center"/>
              <w:rPr>
                <w:color w:val="auto"/>
              </w:rPr>
            </w:pPr>
          </w:p>
        </w:tc>
        <w:tc>
          <w:tcPr>
            <w:tcW w:w="1472" w:type="dxa"/>
            <w:gridSpan w:val="3"/>
            <w:vAlign w:val="center"/>
          </w:tcPr>
          <w:p w14:paraId="5AEE44F9">
            <w:pPr>
              <w:jc w:val="center"/>
              <w:rPr>
                <w:color w:val="auto"/>
              </w:rPr>
            </w:pPr>
          </w:p>
        </w:tc>
        <w:tc>
          <w:tcPr>
            <w:tcW w:w="1641" w:type="dxa"/>
            <w:gridSpan w:val="4"/>
            <w:vAlign w:val="center"/>
          </w:tcPr>
          <w:p w14:paraId="76762BA3">
            <w:pPr>
              <w:jc w:val="center"/>
              <w:rPr>
                <w:color w:val="auto"/>
              </w:rPr>
            </w:pPr>
          </w:p>
        </w:tc>
        <w:tc>
          <w:tcPr>
            <w:tcW w:w="1484" w:type="dxa"/>
            <w:gridSpan w:val="2"/>
            <w:vAlign w:val="center"/>
          </w:tcPr>
          <w:p w14:paraId="7670E0AB">
            <w:pPr>
              <w:jc w:val="center"/>
              <w:rPr>
                <w:color w:val="auto"/>
              </w:rPr>
            </w:pPr>
          </w:p>
        </w:tc>
      </w:tr>
      <w:tr w14:paraId="2F03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450B37A">
            <w:pPr>
              <w:jc w:val="center"/>
              <w:rPr>
                <w:rFonts w:cs="宋体"/>
                <w:color w:val="auto"/>
              </w:rPr>
            </w:pPr>
            <w:r>
              <w:rPr>
                <w:rFonts w:hint="eastAsia" w:cs="宋体"/>
                <w:color w:val="auto"/>
              </w:rPr>
              <w:t>工程质量</w:t>
            </w:r>
          </w:p>
        </w:tc>
        <w:tc>
          <w:tcPr>
            <w:tcW w:w="1548" w:type="dxa"/>
            <w:gridSpan w:val="2"/>
            <w:vAlign w:val="center"/>
          </w:tcPr>
          <w:p w14:paraId="1AEBA90B">
            <w:pPr>
              <w:jc w:val="center"/>
              <w:rPr>
                <w:color w:val="auto"/>
              </w:rPr>
            </w:pPr>
          </w:p>
        </w:tc>
        <w:tc>
          <w:tcPr>
            <w:tcW w:w="1837" w:type="dxa"/>
            <w:gridSpan w:val="4"/>
            <w:vAlign w:val="center"/>
          </w:tcPr>
          <w:p w14:paraId="5D9908FC">
            <w:pPr>
              <w:jc w:val="center"/>
              <w:rPr>
                <w:color w:val="auto"/>
              </w:rPr>
            </w:pPr>
          </w:p>
        </w:tc>
        <w:tc>
          <w:tcPr>
            <w:tcW w:w="1472" w:type="dxa"/>
            <w:gridSpan w:val="3"/>
            <w:vAlign w:val="center"/>
          </w:tcPr>
          <w:p w14:paraId="28F96BB9">
            <w:pPr>
              <w:jc w:val="center"/>
              <w:rPr>
                <w:color w:val="auto"/>
              </w:rPr>
            </w:pPr>
          </w:p>
        </w:tc>
        <w:tc>
          <w:tcPr>
            <w:tcW w:w="1641" w:type="dxa"/>
            <w:gridSpan w:val="4"/>
            <w:vAlign w:val="center"/>
          </w:tcPr>
          <w:p w14:paraId="58B5A41C">
            <w:pPr>
              <w:jc w:val="center"/>
              <w:rPr>
                <w:color w:val="auto"/>
              </w:rPr>
            </w:pPr>
          </w:p>
        </w:tc>
        <w:tc>
          <w:tcPr>
            <w:tcW w:w="1484" w:type="dxa"/>
            <w:gridSpan w:val="2"/>
            <w:vAlign w:val="center"/>
          </w:tcPr>
          <w:p w14:paraId="1B2600FA">
            <w:pPr>
              <w:jc w:val="center"/>
              <w:rPr>
                <w:color w:val="auto"/>
              </w:rPr>
            </w:pPr>
          </w:p>
        </w:tc>
      </w:tr>
      <w:tr w14:paraId="32F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CDD88F">
            <w:pPr>
              <w:jc w:val="center"/>
              <w:rPr>
                <w:rFonts w:cs="宋体"/>
                <w:color w:val="auto"/>
              </w:rPr>
            </w:pPr>
            <w:r>
              <w:rPr>
                <w:rFonts w:hint="eastAsia" w:cs="宋体"/>
                <w:color w:val="auto"/>
              </w:rPr>
              <w:t>受奖情况</w:t>
            </w:r>
          </w:p>
        </w:tc>
        <w:tc>
          <w:tcPr>
            <w:tcW w:w="1548" w:type="dxa"/>
            <w:gridSpan w:val="2"/>
            <w:vAlign w:val="center"/>
          </w:tcPr>
          <w:p w14:paraId="3C1D9AE2">
            <w:pPr>
              <w:jc w:val="center"/>
              <w:rPr>
                <w:color w:val="auto"/>
              </w:rPr>
            </w:pPr>
          </w:p>
        </w:tc>
        <w:tc>
          <w:tcPr>
            <w:tcW w:w="1837" w:type="dxa"/>
            <w:gridSpan w:val="4"/>
            <w:vAlign w:val="center"/>
          </w:tcPr>
          <w:p w14:paraId="219E0DEF">
            <w:pPr>
              <w:jc w:val="center"/>
              <w:rPr>
                <w:color w:val="auto"/>
              </w:rPr>
            </w:pPr>
          </w:p>
        </w:tc>
        <w:tc>
          <w:tcPr>
            <w:tcW w:w="1472" w:type="dxa"/>
            <w:gridSpan w:val="3"/>
            <w:vAlign w:val="center"/>
          </w:tcPr>
          <w:p w14:paraId="03713FE5">
            <w:pPr>
              <w:jc w:val="center"/>
              <w:rPr>
                <w:color w:val="auto"/>
              </w:rPr>
            </w:pPr>
          </w:p>
        </w:tc>
        <w:tc>
          <w:tcPr>
            <w:tcW w:w="1641" w:type="dxa"/>
            <w:gridSpan w:val="4"/>
            <w:vAlign w:val="center"/>
          </w:tcPr>
          <w:p w14:paraId="3590E309">
            <w:pPr>
              <w:jc w:val="center"/>
              <w:rPr>
                <w:color w:val="auto"/>
              </w:rPr>
            </w:pPr>
          </w:p>
        </w:tc>
        <w:tc>
          <w:tcPr>
            <w:tcW w:w="1484" w:type="dxa"/>
            <w:gridSpan w:val="2"/>
            <w:vAlign w:val="center"/>
          </w:tcPr>
          <w:p w14:paraId="0A084BB2">
            <w:pPr>
              <w:jc w:val="center"/>
              <w:rPr>
                <w:color w:val="auto"/>
              </w:rPr>
            </w:pPr>
          </w:p>
        </w:tc>
      </w:tr>
    </w:tbl>
    <w:p w14:paraId="21F1BA76">
      <w:pPr>
        <w:spacing w:line="360" w:lineRule="auto"/>
        <w:rPr>
          <w:rFonts w:ascii="宋体"/>
          <w:color w:val="auto"/>
        </w:rPr>
      </w:pPr>
      <w:r>
        <w:rPr>
          <w:rFonts w:hint="eastAsia" w:ascii="宋体" w:hAnsi="宋体" w:cs="楷体_GB2312"/>
          <w:color w:val="auto"/>
        </w:rPr>
        <w:t>备注：</w:t>
      </w:r>
    </w:p>
    <w:p w14:paraId="2EC9CE66">
      <w:pPr>
        <w:spacing w:line="360" w:lineRule="auto"/>
        <w:ind w:firstLine="420" w:firstLineChars="200"/>
        <w:rPr>
          <w:rFonts w:ascii="宋体"/>
          <w:color w:val="auto"/>
        </w:rPr>
      </w:pPr>
      <w:r>
        <w:rPr>
          <w:rFonts w:ascii="宋体" w:hAnsi="宋体"/>
          <w:color w:val="auto"/>
        </w:rPr>
        <w:t>1.</w:t>
      </w:r>
      <w:r>
        <w:rPr>
          <w:rFonts w:hint="eastAsia" w:ascii="宋体" w:hAnsi="宋体"/>
          <w:color w:val="auto"/>
        </w:rPr>
        <w:t>供应商可以根据项目情况增减表格内容，项目数可以根据需要增加。</w:t>
      </w:r>
    </w:p>
    <w:p w14:paraId="4F5BB58F">
      <w:pPr>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szCs w:val="21"/>
        </w:rPr>
        <w:t>本表后附专职安全生产管理人员的学历证、安全生产考核合格证（</w:t>
      </w:r>
      <w:r>
        <w:rPr>
          <w:rFonts w:ascii="宋体" w:hAnsi="宋体"/>
          <w:color w:val="auto"/>
          <w:szCs w:val="21"/>
        </w:rPr>
        <w:t>C</w:t>
      </w:r>
      <w:r>
        <w:rPr>
          <w:rFonts w:hint="eastAsia" w:ascii="宋体" w:hAnsi="宋体"/>
          <w:color w:val="auto"/>
          <w:szCs w:val="21"/>
        </w:rPr>
        <w:t>类）、本表所列证书复印件并加盖供应商电子签章。</w:t>
      </w:r>
    </w:p>
    <w:p w14:paraId="3A4E6E43">
      <w:pPr>
        <w:spacing w:line="360" w:lineRule="auto"/>
        <w:rPr>
          <w:rFonts w:ascii="宋体"/>
          <w:color w:val="000000" w:themeColor="text1"/>
          <w:szCs w:val="21"/>
          <w14:textFill>
            <w14:solidFill>
              <w14:schemeClr w14:val="tx1"/>
            </w14:solidFill>
          </w14:textFill>
        </w:rPr>
      </w:pPr>
      <w:r>
        <w:rPr>
          <w:rFonts w:ascii="宋体"/>
          <w:b/>
          <w:bCs/>
          <w:color w:val="auto"/>
          <w:sz w:val="24"/>
        </w:rPr>
        <w:br w:type="page"/>
      </w:r>
      <w:r>
        <w:rPr>
          <w:rFonts w:hint="eastAsia" w:ascii="宋体" w:hAnsi="宋体"/>
          <w:b/>
          <w:bCs/>
          <w:color w:val="000000" w:themeColor="text1"/>
          <w:sz w:val="24"/>
          <w14:textFill>
            <w14:solidFill>
              <w14:schemeClr w14:val="tx1"/>
            </w14:solidFill>
          </w14:textFill>
        </w:rPr>
        <w:t>其他文书、文件格式</w:t>
      </w:r>
    </w:p>
    <w:p w14:paraId="17479721">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7"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107"/>
    </w:p>
    <w:p w14:paraId="3D878DF1">
      <w:pPr>
        <w:spacing w:before="2" w:line="500" w:lineRule="exact"/>
        <w:ind w:firstLine="708" w:firstLineChars="294"/>
        <w:rPr>
          <w:rFonts w:ascii="宋体" w:cs="宋体"/>
          <w:b/>
          <w:bCs/>
          <w:color w:val="000000" w:themeColor="text1"/>
          <w:sz w:val="24"/>
          <w14:textFill>
            <w14:solidFill>
              <w14:schemeClr w14:val="tx1"/>
            </w14:solidFill>
          </w14:textFill>
        </w:rPr>
      </w:pPr>
    </w:p>
    <w:p w14:paraId="109E98A4">
      <w:pPr>
        <w:pStyle w:val="19"/>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2F8C7788">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3B2C6E6B">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BE3A478">
      <w:pPr>
        <w:pStyle w:val="19"/>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54153B0C">
      <w:pPr>
        <w:pStyle w:val="19"/>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15034883">
      <w:pPr>
        <w:pStyle w:val="19"/>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73AE2562">
      <w:pPr>
        <w:pStyle w:val="19"/>
        <w:spacing w:before="56" w:line="500" w:lineRule="exact"/>
        <w:ind w:right="1808" w:firstLine="705" w:firstLineChars="294"/>
        <w:rPr>
          <w:rFonts w:ascii="宋体"/>
          <w:color w:val="000000" w:themeColor="text1"/>
          <w:sz w:val="24"/>
          <w14:textFill>
            <w14:solidFill>
              <w14:schemeClr w14:val="tx1"/>
            </w14:solidFill>
          </w14:textFill>
        </w:rPr>
      </w:pPr>
    </w:p>
    <w:p w14:paraId="0EEC3A72">
      <w:pPr>
        <w:pStyle w:val="19"/>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4ACE9818">
      <w:pPr>
        <w:pStyle w:val="19"/>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2F9AF512">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5F849622">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977193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250FCB7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1824513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4817CBAC">
      <w:pPr>
        <w:spacing w:line="360" w:lineRule="auto"/>
        <w:contextualSpacing/>
        <w:rPr>
          <w:rFonts w:ascii="宋体" w:cs="仿宋_GB2312"/>
          <w:color w:val="000000" w:themeColor="text1"/>
          <w:sz w:val="24"/>
          <w14:textFill>
            <w14:solidFill>
              <w14:schemeClr w14:val="tx1"/>
            </w14:solidFill>
          </w14:textFill>
        </w:rPr>
      </w:pPr>
    </w:p>
    <w:p w14:paraId="34E55621">
      <w:pPr>
        <w:spacing w:line="360" w:lineRule="auto"/>
        <w:contextualSpacing/>
        <w:rPr>
          <w:rFonts w:ascii="宋体" w:cs="仿宋_GB2312"/>
          <w:color w:val="000000" w:themeColor="text1"/>
          <w:sz w:val="24"/>
          <w14:textFill>
            <w14:solidFill>
              <w14:schemeClr w14:val="tx1"/>
            </w14:solidFill>
          </w14:textFill>
        </w:rPr>
      </w:pPr>
    </w:p>
    <w:p w14:paraId="138BB06F">
      <w:pPr>
        <w:spacing w:line="360" w:lineRule="auto"/>
        <w:contextualSpacing/>
        <w:rPr>
          <w:rFonts w:ascii="宋体" w:cs="仿宋_GB2312"/>
          <w:color w:val="000000" w:themeColor="text1"/>
          <w:sz w:val="24"/>
          <w14:textFill>
            <w14:solidFill>
              <w14:schemeClr w14:val="tx1"/>
            </w14:solidFill>
          </w14:textFill>
        </w:rPr>
      </w:pPr>
    </w:p>
    <w:p w14:paraId="55C293FB">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177B255C">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6662F4EE">
      <w:pPr>
        <w:spacing w:line="360" w:lineRule="auto"/>
        <w:contextualSpacing/>
        <w:rPr>
          <w:rFonts w:ascii="宋体" w:cs="仿宋_GB2312"/>
          <w:color w:val="000000" w:themeColor="text1"/>
          <w:sz w:val="24"/>
          <w14:textFill>
            <w14:solidFill>
              <w14:schemeClr w14:val="tx1"/>
            </w14:solidFill>
          </w14:textFill>
        </w:rPr>
      </w:pPr>
    </w:p>
    <w:p w14:paraId="1F78FD46">
      <w:pPr>
        <w:spacing w:line="360" w:lineRule="auto"/>
        <w:contextualSpacing/>
        <w:rPr>
          <w:rFonts w:ascii="宋体" w:cs="仿宋_GB2312"/>
          <w:color w:val="000000" w:themeColor="text1"/>
          <w:sz w:val="24"/>
          <w14:textFill>
            <w14:solidFill>
              <w14:schemeClr w14:val="tx1"/>
            </w14:solidFill>
          </w14:textFill>
        </w:rPr>
      </w:pPr>
    </w:p>
    <w:p w14:paraId="757E26C2">
      <w:pPr>
        <w:spacing w:line="360" w:lineRule="auto"/>
        <w:contextualSpacing/>
        <w:rPr>
          <w:rFonts w:ascii="宋体" w:cs="仿宋_GB2312"/>
          <w:color w:val="000000" w:themeColor="text1"/>
          <w:sz w:val="24"/>
          <w14:textFill>
            <w14:solidFill>
              <w14:schemeClr w14:val="tx1"/>
            </w14:solidFill>
          </w14:textFill>
        </w:rPr>
      </w:pPr>
    </w:p>
    <w:p w14:paraId="7EFA846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6B6B028A">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2D494D77">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08BCAEA7">
      <w:pPr>
        <w:pStyle w:val="26"/>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68D3B4DE">
      <w:pPr>
        <w:pStyle w:val="26"/>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2975EEBF">
      <w:pPr>
        <w:pStyle w:val="26"/>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CB73B9E">
      <w:pPr>
        <w:pStyle w:val="26"/>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06767483">
      <w:pPr>
        <w:pStyle w:val="26"/>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144ECE39">
      <w:pPr>
        <w:pStyle w:val="26"/>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0B875C88">
      <w:pPr>
        <w:pStyle w:val="26"/>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2C066C">
      <w:pPr>
        <w:pStyle w:val="26"/>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69D7AFCD">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30BBE72C">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465F5F84">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64DE077A">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1C44A2A5">
      <w:pPr>
        <w:pStyle w:val="26"/>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73F51EA5">
      <w:pPr>
        <w:pStyle w:val="26"/>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44F54C69">
      <w:pPr>
        <w:pStyle w:val="26"/>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63BC3183">
      <w:pPr>
        <w:pStyle w:val="26"/>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61A9F1A7">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7F72AF6A">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035D1571">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2DDE762E">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2F012BB5">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5ACF3408">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29043392">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06A7CB85">
      <w:pPr>
        <w:pStyle w:val="26"/>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3338CFCB">
      <w:pPr>
        <w:pStyle w:val="26"/>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1C6CB0DB">
      <w:pPr>
        <w:pStyle w:val="26"/>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0D9F4F3A">
      <w:pPr>
        <w:pStyle w:val="26"/>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6E55D82">
      <w:pPr>
        <w:pStyle w:val="26"/>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77C5073A">
      <w:pPr>
        <w:pStyle w:val="26"/>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F205353">
      <w:pPr>
        <w:pStyle w:val="26"/>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0A2979DF">
      <w:pPr>
        <w:pStyle w:val="26"/>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44B4E6F5">
      <w:pPr>
        <w:pStyle w:val="26"/>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42C20F62">
      <w:pPr>
        <w:pStyle w:val="26"/>
        <w:snapToGrid w:val="0"/>
        <w:rPr>
          <w:b/>
          <w:color w:val="000000" w:themeColor="text1"/>
          <w:sz w:val="24"/>
          <w:szCs w:val="24"/>
          <w14:textFill>
            <w14:solidFill>
              <w14:schemeClr w14:val="tx1"/>
            </w14:solidFill>
          </w14:textFill>
        </w:rPr>
      </w:pPr>
    </w:p>
    <w:p w14:paraId="0FA8F249">
      <w:pPr>
        <w:rPr>
          <w:color w:val="000000" w:themeColor="text1"/>
          <w:sz w:val="32"/>
          <w:szCs w:val="40"/>
          <w14:textFill>
            <w14:solidFill>
              <w14:schemeClr w14:val="tx1"/>
            </w14:solidFill>
          </w14:textFill>
        </w:rPr>
      </w:pPr>
    </w:p>
    <w:p w14:paraId="7B8FC5D9">
      <w:pPr>
        <w:rPr>
          <w:color w:val="000000" w:themeColor="text1"/>
          <w:sz w:val="32"/>
          <w:szCs w:val="40"/>
          <w14:textFill>
            <w14:solidFill>
              <w14:schemeClr w14:val="tx1"/>
            </w14:solidFill>
          </w14:textFill>
        </w:rPr>
      </w:pPr>
    </w:p>
    <w:p w14:paraId="3974F644">
      <w:pPr>
        <w:rPr>
          <w:color w:val="000000" w:themeColor="text1"/>
          <w:sz w:val="32"/>
          <w:szCs w:val="40"/>
          <w14:textFill>
            <w14:solidFill>
              <w14:schemeClr w14:val="tx1"/>
            </w14:solidFill>
          </w14:textFill>
        </w:rPr>
      </w:pPr>
    </w:p>
    <w:p w14:paraId="6279B799">
      <w:pPr>
        <w:rPr>
          <w:color w:val="000000" w:themeColor="text1"/>
          <w:sz w:val="32"/>
          <w:szCs w:val="40"/>
          <w14:textFill>
            <w14:solidFill>
              <w14:schemeClr w14:val="tx1"/>
            </w14:solidFill>
          </w14:textFill>
        </w:rPr>
      </w:pPr>
    </w:p>
    <w:p w14:paraId="2C400977">
      <w:pPr>
        <w:rPr>
          <w:color w:val="000000" w:themeColor="text1"/>
          <w:sz w:val="32"/>
          <w:szCs w:val="40"/>
          <w14:textFill>
            <w14:solidFill>
              <w14:schemeClr w14:val="tx1"/>
            </w14:solidFill>
          </w14:textFill>
        </w:rPr>
      </w:pPr>
    </w:p>
    <w:p w14:paraId="6449D256">
      <w:pPr>
        <w:rPr>
          <w:color w:val="000000" w:themeColor="text1"/>
          <w:sz w:val="32"/>
          <w:szCs w:val="40"/>
          <w14:textFill>
            <w14:solidFill>
              <w14:schemeClr w14:val="tx1"/>
            </w14:solidFill>
          </w14:textFill>
        </w:rPr>
      </w:pPr>
    </w:p>
    <w:p w14:paraId="7F3CB365">
      <w:pPr>
        <w:rPr>
          <w:color w:val="000000" w:themeColor="text1"/>
          <w:sz w:val="32"/>
          <w:szCs w:val="40"/>
          <w14:textFill>
            <w14:solidFill>
              <w14:schemeClr w14:val="tx1"/>
            </w14:solidFill>
          </w14:textFill>
        </w:rPr>
      </w:pPr>
    </w:p>
    <w:p w14:paraId="0EE0507B">
      <w:pPr>
        <w:rPr>
          <w:color w:val="000000" w:themeColor="text1"/>
          <w:sz w:val="32"/>
          <w:szCs w:val="40"/>
          <w14:textFill>
            <w14:solidFill>
              <w14:schemeClr w14:val="tx1"/>
            </w14:solidFill>
          </w14:textFill>
        </w:rPr>
      </w:pPr>
    </w:p>
    <w:p w14:paraId="5FA1C049">
      <w:pPr>
        <w:rPr>
          <w:color w:val="000000" w:themeColor="text1"/>
          <w:sz w:val="32"/>
          <w:szCs w:val="40"/>
          <w14:textFill>
            <w14:solidFill>
              <w14:schemeClr w14:val="tx1"/>
            </w14:solidFill>
          </w14:textFill>
        </w:rPr>
      </w:pPr>
    </w:p>
    <w:p w14:paraId="65A46595">
      <w:pPr>
        <w:rPr>
          <w:color w:val="000000" w:themeColor="text1"/>
          <w:sz w:val="32"/>
          <w:szCs w:val="40"/>
          <w14:textFill>
            <w14:solidFill>
              <w14:schemeClr w14:val="tx1"/>
            </w14:solidFill>
          </w14:textFill>
        </w:rPr>
      </w:pPr>
    </w:p>
    <w:p w14:paraId="35A1DEDC">
      <w:pPr>
        <w:rPr>
          <w:color w:val="000000" w:themeColor="text1"/>
          <w:sz w:val="32"/>
          <w:szCs w:val="40"/>
          <w14:textFill>
            <w14:solidFill>
              <w14:schemeClr w14:val="tx1"/>
            </w14:solidFill>
          </w14:textFill>
        </w:rPr>
      </w:pPr>
    </w:p>
    <w:p w14:paraId="3F0DFD70">
      <w:pPr>
        <w:rPr>
          <w:color w:val="000000" w:themeColor="text1"/>
          <w:sz w:val="32"/>
          <w:szCs w:val="40"/>
          <w14:textFill>
            <w14:solidFill>
              <w14:schemeClr w14:val="tx1"/>
            </w14:solidFill>
          </w14:textFill>
        </w:rPr>
      </w:pPr>
    </w:p>
    <w:p w14:paraId="58FEC1AE">
      <w:pPr>
        <w:rPr>
          <w:color w:val="000000" w:themeColor="text1"/>
          <w:sz w:val="32"/>
          <w:szCs w:val="40"/>
          <w14:textFill>
            <w14:solidFill>
              <w14:schemeClr w14:val="tx1"/>
            </w14:solidFill>
          </w14:textFill>
        </w:rPr>
      </w:pPr>
    </w:p>
    <w:p w14:paraId="2DF34765">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48EA0C86">
      <w:pPr>
        <w:rPr>
          <w:color w:val="000000" w:themeColor="text1"/>
          <w:sz w:val="32"/>
          <w:szCs w:val="40"/>
          <w14:textFill>
            <w14:solidFill>
              <w14:schemeClr w14:val="tx1"/>
            </w14:solidFill>
          </w14:textFill>
        </w:rPr>
      </w:pPr>
    </w:p>
    <w:p w14:paraId="364B9DF2">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493DC508">
      <w:pPr>
        <w:pStyle w:val="26"/>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3BF5BB3E">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46580836">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5600F9E">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730B20A8">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1E231126">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490AEB4B">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6B1E12EF">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1EFFAFA">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7F4D37D6">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0DD3EBA9">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08F6BB4">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65DE9A58">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15626996">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11CFB355">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6EA6181B">
      <w:pPr>
        <w:pStyle w:val="26"/>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1F4B84">
      <w:pPr>
        <w:pStyle w:val="26"/>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141E80DB">
      <w:pPr>
        <w:pStyle w:val="26"/>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DEBEBB1">
      <w:pPr>
        <w:pStyle w:val="26"/>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7CACB443">
      <w:pPr>
        <w:pStyle w:val="26"/>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3952CC2B">
      <w:pPr>
        <w:pStyle w:val="26"/>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2FAF6A4B">
      <w:pPr>
        <w:pStyle w:val="26"/>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37AEF14D">
      <w:pPr>
        <w:pStyle w:val="26"/>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17794DB2">
      <w:pPr>
        <w:pStyle w:val="26"/>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60FAB35A">
      <w:pPr>
        <w:pStyle w:val="26"/>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09D0A85A">
      <w:pPr>
        <w:pStyle w:val="26"/>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5287170C">
      <w:pPr>
        <w:pStyle w:val="26"/>
        <w:spacing w:line="360" w:lineRule="auto"/>
        <w:ind w:firstLine="241"/>
        <w:rPr>
          <w:rFonts w:hAnsi="宋体"/>
          <w:bCs/>
          <w:color w:val="000000" w:themeColor="text1"/>
          <w:sz w:val="24"/>
          <w:szCs w:val="24"/>
          <w:u w:val="single"/>
          <w14:textFill>
            <w14:solidFill>
              <w14:schemeClr w14:val="tx1"/>
            </w14:solidFill>
          </w14:textFill>
        </w:rPr>
      </w:pPr>
    </w:p>
    <w:p w14:paraId="6225B976">
      <w:pPr>
        <w:pStyle w:val="26"/>
        <w:spacing w:line="360" w:lineRule="auto"/>
        <w:ind w:firstLine="241"/>
        <w:rPr>
          <w:rFonts w:hAnsi="宋体"/>
          <w:bCs/>
          <w:color w:val="000000" w:themeColor="text1"/>
          <w:sz w:val="24"/>
          <w:szCs w:val="24"/>
          <w:u w:val="single"/>
          <w14:textFill>
            <w14:solidFill>
              <w14:schemeClr w14:val="tx1"/>
            </w14:solidFill>
          </w14:textFill>
        </w:rPr>
      </w:pPr>
    </w:p>
    <w:p w14:paraId="1563A66D">
      <w:pPr>
        <w:pStyle w:val="26"/>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7082211">
      <w:pPr>
        <w:pStyle w:val="26"/>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44F35F1D">
      <w:pPr>
        <w:pStyle w:val="26"/>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80CADC2">
      <w:pPr>
        <w:pStyle w:val="26"/>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25D11E49">
      <w:pPr>
        <w:pStyle w:val="26"/>
        <w:spacing w:line="360" w:lineRule="auto"/>
        <w:ind w:left="25" w:leftChars="12" w:firstLine="472" w:firstLineChars="197"/>
        <w:rPr>
          <w:rFonts w:hAnsi="宋体"/>
          <w:color w:val="000000" w:themeColor="text1"/>
          <w:sz w:val="24"/>
          <w:szCs w:val="24"/>
          <w14:textFill>
            <w14:solidFill>
              <w14:schemeClr w14:val="tx1"/>
            </w14:solidFill>
          </w14:textFill>
        </w:rPr>
      </w:pPr>
    </w:p>
    <w:p w14:paraId="18D795B7">
      <w:pPr>
        <w:pStyle w:val="26"/>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6DBC0528">
      <w:pPr>
        <w:pStyle w:val="26"/>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351D3E74">
      <w:pPr>
        <w:pStyle w:val="26"/>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4B543FEF">
      <w:pPr>
        <w:pStyle w:val="26"/>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21ED56AA">
      <w:pPr>
        <w:pStyle w:val="26"/>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1FECAD11">
      <w:pPr>
        <w:pStyle w:val="26"/>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511B9EA0">
      <w:pPr>
        <w:pStyle w:val="26"/>
        <w:spacing w:line="360" w:lineRule="auto"/>
        <w:ind w:left="25" w:leftChars="12" w:firstLine="352" w:firstLineChars="147"/>
        <w:rPr>
          <w:rFonts w:hAnsi="宋体"/>
          <w:color w:val="000000" w:themeColor="text1"/>
          <w:sz w:val="24"/>
          <w:szCs w:val="24"/>
          <w14:textFill>
            <w14:solidFill>
              <w14:schemeClr w14:val="tx1"/>
            </w14:solidFill>
          </w14:textFill>
        </w:rPr>
      </w:pPr>
    </w:p>
    <w:p w14:paraId="12B4539E">
      <w:pPr>
        <w:pStyle w:val="26"/>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64DADA06">
      <w:pPr>
        <w:pStyle w:val="26"/>
        <w:spacing w:line="360" w:lineRule="auto"/>
        <w:ind w:left="25" w:leftChars="12" w:firstLine="352" w:firstLineChars="147"/>
        <w:rPr>
          <w:rFonts w:hAnsi="宋体"/>
          <w:color w:val="000000" w:themeColor="text1"/>
          <w:sz w:val="24"/>
          <w:szCs w:val="24"/>
          <w14:textFill>
            <w14:solidFill>
              <w14:schemeClr w14:val="tx1"/>
            </w14:solidFill>
          </w14:textFill>
        </w:rPr>
      </w:pPr>
    </w:p>
    <w:p w14:paraId="52B0014D">
      <w:pPr>
        <w:pStyle w:val="26"/>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716843B">
      <w:pPr>
        <w:pStyle w:val="26"/>
        <w:spacing w:line="360" w:lineRule="auto"/>
        <w:ind w:left="25" w:leftChars="12" w:firstLine="475" w:firstLineChars="197"/>
        <w:rPr>
          <w:rFonts w:hAnsi="宋体"/>
          <w:b/>
          <w:color w:val="000000" w:themeColor="text1"/>
          <w:sz w:val="24"/>
          <w:szCs w:val="24"/>
          <w14:textFill>
            <w14:solidFill>
              <w14:schemeClr w14:val="tx1"/>
            </w14:solidFill>
          </w14:textFill>
        </w:rPr>
      </w:pPr>
    </w:p>
    <w:p w14:paraId="74DC68FB">
      <w:pPr>
        <w:pStyle w:val="26"/>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41FDC95D">
      <w:pPr>
        <w:pStyle w:val="26"/>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32A2CF89">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64B002C4">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437E3072">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2C2F9B7C">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103CA94F">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108" w:name="_Toc74323461"/>
    </w:p>
    <w:p w14:paraId="4582622C">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p>
    <w:p w14:paraId="0DD18F14">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p>
    <w:p w14:paraId="6D3D3F43">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p>
    <w:p w14:paraId="5FF3401E">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p>
    <w:p w14:paraId="5DDF9330">
      <w:pPr>
        <w:pStyle w:val="26"/>
        <w:spacing w:line="360" w:lineRule="auto"/>
        <w:ind w:left="25" w:leftChars="12" w:firstLine="354" w:firstLineChars="147"/>
        <w:rPr>
          <w:rFonts w:hAnsi="宋体"/>
          <w:b/>
          <w:color w:val="000000" w:themeColor="text1"/>
          <w:sz w:val="24"/>
          <w:szCs w:val="24"/>
          <w14:textFill>
            <w14:solidFill>
              <w14:schemeClr w14:val="tx1"/>
            </w14:solidFill>
          </w14:textFill>
        </w:rPr>
      </w:pPr>
    </w:p>
    <w:p w14:paraId="742D1530">
      <w:pPr>
        <w:pStyle w:val="26"/>
        <w:spacing w:line="360" w:lineRule="auto"/>
        <w:ind w:left="25" w:leftChars="12" w:firstLine="310" w:firstLineChars="147"/>
        <w:rPr>
          <w:rFonts w:hAnsi="宋体"/>
          <w:b/>
          <w:color w:val="000000" w:themeColor="text1"/>
          <w14:textFill>
            <w14:solidFill>
              <w14:schemeClr w14:val="tx1"/>
            </w14:solidFill>
          </w14:textFill>
        </w:rPr>
      </w:pPr>
    </w:p>
    <w:p w14:paraId="5B8BA878">
      <w:pPr>
        <w:pStyle w:val="64"/>
        <w:ind w:firstLine="480"/>
        <w:rPr>
          <w:color w:val="000000" w:themeColor="text1"/>
          <w:lang w:eastAsia="zh-CN"/>
          <w14:textFill>
            <w14:solidFill>
              <w14:schemeClr w14:val="tx1"/>
            </w14:solidFill>
          </w14:textFill>
        </w:rPr>
      </w:pPr>
    </w:p>
    <w:p w14:paraId="0C9C2106">
      <w:pPr>
        <w:pStyle w:val="2"/>
        <w:jc w:val="center"/>
        <w:rPr>
          <w:color w:val="000000" w:themeColor="text1"/>
          <w14:textFill>
            <w14:solidFill>
              <w14:schemeClr w14:val="tx1"/>
            </w14:solidFill>
          </w14:textFill>
        </w:rPr>
      </w:pPr>
    </w:p>
    <w:p w14:paraId="294C61A5">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108"/>
    </w:p>
    <w:p w14:paraId="2B2C6430">
      <w:pPr>
        <w:spacing w:line="520" w:lineRule="exact"/>
        <w:rPr>
          <w:rFonts w:ascii="宋体" w:cs="Courier New"/>
          <w:b/>
          <w:color w:val="000000" w:themeColor="text1"/>
          <w:sz w:val="32"/>
          <w:szCs w:val="32"/>
          <w14:textFill>
            <w14:solidFill>
              <w14:schemeClr w14:val="tx1"/>
            </w14:solidFill>
          </w14:textFill>
        </w:rPr>
      </w:pPr>
    </w:p>
    <w:p w14:paraId="701A691E">
      <w:pPr>
        <w:widowControl/>
        <w:numPr>
          <w:ilvl w:val="0"/>
          <w:numId w:val="3"/>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p>
    <w:p w14:paraId="58267B95">
      <w:pPr>
        <w:pStyle w:val="21"/>
        <w:pageBreakBefore w:val="0"/>
        <w:kinsoku/>
        <w:overflowPunct/>
        <w:topLinePunct w:val="0"/>
        <w:bidi w:val="0"/>
        <w:snapToGrid/>
        <w:spacing w:line="560" w:lineRule="exact"/>
        <w:textAlignment w:val="auto"/>
        <w:rPr>
          <w:rFonts w:hint="eastAsia" w:ascii="宋体" w:hAnsi="宋体" w:eastAsia="宋体" w:cs="宋体"/>
          <w:b/>
          <w:color w:val="auto"/>
          <w:sz w:val="40"/>
          <w:szCs w:val="40"/>
          <w:lang w:eastAsia="zh-CN"/>
        </w:rPr>
      </w:pPr>
      <w:r>
        <w:rPr>
          <w:rFonts w:hint="eastAsia" w:ascii="宋体" w:hAnsi="宋体" w:eastAsia="宋体" w:cs="宋体"/>
          <w:b/>
          <w:color w:val="auto"/>
          <w:sz w:val="40"/>
          <w:szCs w:val="40"/>
          <w:lang w:eastAsia="zh-CN"/>
        </w:rPr>
        <w:t>合同编号：</w:t>
      </w:r>
    </w:p>
    <w:p w14:paraId="493EC1A9">
      <w:pPr>
        <w:pStyle w:val="21"/>
        <w:pageBreakBefore w:val="0"/>
        <w:kinsoku/>
        <w:overflowPunct/>
        <w:topLinePunct w:val="0"/>
        <w:bidi w:val="0"/>
        <w:snapToGrid/>
        <w:spacing w:line="560" w:lineRule="exact"/>
        <w:textAlignment w:val="auto"/>
        <w:rPr>
          <w:rFonts w:hint="eastAsia" w:ascii="宋体" w:hAnsi="宋体" w:eastAsia="宋体" w:cs="宋体"/>
          <w:b/>
          <w:color w:val="auto"/>
          <w:sz w:val="48"/>
          <w:szCs w:val="48"/>
        </w:rPr>
      </w:pPr>
    </w:p>
    <w:p w14:paraId="2B8E3F2C">
      <w:pPr>
        <w:pageBreakBefore w:val="0"/>
        <w:kinsoku/>
        <w:overflowPunct/>
        <w:topLinePunct w:val="0"/>
        <w:bidi w:val="0"/>
        <w:snapToGrid/>
        <w:spacing w:line="560" w:lineRule="exact"/>
        <w:jc w:val="center"/>
        <w:rPr>
          <w:rFonts w:hint="eastAsia" w:ascii="宋体" w:hAnsi="宋体" w:eastAsia="宋体" w:cs="Times New Roman"/>
          <w:bCs/>
          <w:color w:val="auto"/>
          <w:sz w:val="56"/>
          <w:szCs w:val="56"/>
          <w:highlight w:val="none"/>
        </w:rPr>
      </w:pPr>
    </w:p>
    <w:p w14:paraId="616F1A95">
      <w:pPr>
        <w:pageBreakBefore w:val="0"/>
        <w:kinsoku/>
        <w:overflowPunct/>
        <w:topLinePunct w:val="0"/>
        <w:bidi w:val="0"/>
        <w:snapToGrid/>
        <w:spacing w:line="560" w:lineRule="exact"/>
        <w:rPr>
          <w:rFonts w:ascii="宋体" w:hAnsi="宋体"/>
          <w:bCs/>
          <w:color w:val="auto"/>
          <w:sz w:val="44"/>
          <w:szCs w:val="44"/>
          <w:highlight w:val="none"/>
        </w:rPr>
      </w:pPr>
    </w:p>
    <w:p w14:paraId="6220853C">
      <w:pPr>
        <w:pageBreakBefore w:val="0"/>
        <w:kinsoku/>
        <w:overflowPunct/>
        <w:topLinePunct w:val="0"/>
        <w:bidi w:val="0"/>
        <w:snapToGrid/>
        <w:spacing w:line="560" w:lineRule="exact"/>
        <w:rPr>
          <w:rFonts w:ascii="宋体" w:hAnsi="宋体"/>
          <w:bCs/>
          <w:color w:val="auto"/>
          <w:sz w:val="44"/>
          <w:szCs w:val="44"/>
          <w:highlight w:val="none"/>
        </w:rPr>
      </w:pPr>
    </w:p>
    <w:p w14:paraId="2164BF4A">
      <w:pPr>
        <w:pStyle w:val="19"/>
        <w:pageBreakBefore w:val="0"/>
        <w:kinsoku/>
        <w:overflowPunct/>
        <w:topLinePunct w:val="0"/>
        <w:bidi w:val="0"/>
        <w:snapToGrid/>
        <w:spacing w:line="560" w:lineRule="exact"/>
        <w:rPr>
          <w:color w:val="auto"/>
        </w:rPr>
      </w:pPr>
    </w:p>
    <w:p w14:paraId="76C7F606">
      <w:pPr>
        <w:pStyle w:val="19"/>
        <w:pageBreakBefore w:val="0"/>
        <w:kinsoku/>
        <w:overflowPunct/>
        <w:topLinePunct w:val="0"/>
        <w:bidi w:val="0"/>
        <w:snapToGrid/>
        <w:spacing w:line="560" w:lineRule="exact"/>
        <w:rPr>
          <w:color w:val="auto"/>
        </w:rPr>
      </w:pPr>
    </w:p>
    <w:p w14:paraId="2CABDF32">
      <w:pPr>
        <w:pageBreakBefore w:val="0"/>
        <w:kinsoku/>
        <w:overflowPunct/>
        <w:topLinePunct w:val="0"/>
        <w:bidi w:val="0"/>
        <w:snapToGrid/>
        <w:spacing w:line="560" w:lineRule="exact"/>
        <w:jc w:val="center"/>
        <w:rPr>
          <w:rFonts w:ascii="宋体" w:hAnsi="宋体"/>
          <w:b/>
          <w:bCs w:val="0"/>
          <w:color w:val="auto"/>
          <w:sz w:val="56"/>
          <w:szCs w:val="56"/>
          <w:highlight w:val="none"/>
        </w:rPr>
      </w:pPr>
      <w:r>
        <w:rPr>
          <w:rFonts w:hint="eastAsia" w:ascii="宋体" w:hAnsi="宋体"/>
          <w:b/>
          <w:bCs w:val="0"/>
          <w:color w:val="auto"/>
          <w:sz w:val="56"/>
          <w:szCs w:val="56"/>
          <w:highlight w:val="none"/>
        </w:rPr>
        <w:t>施 工 合 同</w:t>
      </w:r>
    </w:p>
    <w:p w14:paraId="0D566B12">
      <w:pPr>
        <w:pageBreakBefore w:val="0"/>
        <w:kinsoku/>
        <w:overflowPunct/>
        <w:topLinePunct w:val="0"/>
        <w:bidi w:val="0"/>
        <w:snapToGrid/>
        <w:spacing w:line="560" w:lineRule="exact"/>
        <w:rPr>
          <w:rFonts w:ascii="宋体" w:hAnsi="宋体"/>
          <w:bCs/>
          <w:color w:val="auto"/>
          <w:sz w:val="36"/>
          <w:szCs w:val="36"/>
          <w:highlight w:val="none"/>
        </w:rPr>
      </w:pPr>
    </w:p>
    <w:p w14:paraId="469E3AA3">
      <w:pPr>
        <w:pageBreakBefore w:val="0"/>
        <w:kinsoku/>
        <w:overflowPunct/>
        <w:topLinePunct w:val="0"/>
        <w:bidi w:val="0"/>
        <w:snapToGrid/>
        <w:spacing w:line="560" w:lineRule="exact"/>
        <w:rPr>
          <w:rFonts w:ascii="宋体" w:hAnsi="宋体"/>
          <w:bCs/>
          <w:color w:val="auto"/>
          <w:sz w:val="36"/>
          <w:szCs w:val="36"/>
          <w:highlight w:val="none"/>
        </w:rPr>
      </w:pPr>
    </w:p>
    <w:p w14:paraId="301083EB">
      <w:pPr>
        <w:pStyle w:val="19"/>
        <w:pageBreakBefore w:val="0"/>
        <w:kinsoku/>
        <w:overflowPunct/>
        <w:topLinePunct w:val="0"/>
        <w:bidi w:val="0"/>
        <w:snapToGrid/>
        <w:spacing w:line="560" w:lineRule="exact"/>
        <w:rPr>
          <w:rFonts w:ascii="宋体" w:hAnsi="宋体"/>
          <w:bCs/>
          <w:color w:val="auto"/>
          <w:sz w:val="36"/>
          <w:szCs w:val="36"/>
          <w:highlight w:val="none"/>
        </w:rPr>
      </w:pPr>
    </w:p>
    <w:p w14:paraId="14B97D69">
      <w:pPr>
        <w:pageBreakBefore w:val="0"/>
        <w:kinsoku/>
        <w:overflowPunct/>
        <w:topLinePunct w:val="0"/>
        <w:bidi w:val="0"/>
        <w:snapToGrid/>
        <w:spacing w:line="560" w:lineRule="exact"/>
        <w:rPr>
          <w:rFonts w:ascii="宋体" w:hAnsi="宋体"/>
          <w:bCs/>
          <w:color w:val="auto"/>
          <w:sz w:val="36"/>
          <w:szCs w:val="36"/>
          <w:highlight w:val="none"/>
        </w:rPr>
      </w:pPr>
    </w:p>
    <w:p w14:paraId="6CFE63B9">
      <w:pPr>
        <w:pStyle w:val="19"/>
        <w:pageBreakBefore w:val="0"/>
        <w:kinsoku/>
        <w:overflowPunct/>
        <w:topLinePunct w:val="0"/>
        <w:bidi w:val="0"/>
        <w:snapToGrid/>
        <w:spacing w:line="560" w:lineRule="exact"/>
        <w:rPr>
          <w:rFonts w:ascii="宋体" w:hAnsi="宋体"/>
          <w:bCs/>
          <w:color w:val="auto"/>
          <w:sz w:val="36"/>
          <w:szCs w:val="36"/>
          <w:highlight w:val="none"/>
        </w:rPr>
      </w:pPr>
    </w:p>
    <w:p w14:paraId="300523AF">
      <w:pPr>
        <w:pageBreakBefore w:val="0"/>
        <w:kinsoku/>
        <w:overflowPunct/>
        <w:topLinePunct w:val="0"/>
        <w:bidi w:val="0"/>
        <w:snapToGrid/>
        <w:spacing w:line="560" w:lineRule="exact"/>
        <w:rPr>
          <w:rFonts w:ascii="宋体" w:hAnsi="宋体"/>
          <w:bCs/>
          <w:color w:val="auto"/>
          <w:sz w:val="36"/>
          <w:szCs w:val="36"/>
          <w:highlight w:val="none"/>
        </w:rPr>
      </w:pPr>
    </w:p>
    <w:p w14:paraId="533E1BC9">
      <w:pPr>
        <w:pageBreakBefore w:val="0"/>
        <w:kinsoku/>
        <w:overflowPunct/>
        <w:topLinePunct w:val="0"/>
        <w:bidi w:val="0"/>
        <w:snapToGrid/>
        <w:spacing w:line="560" w:lineRule="exact"/>
        <w:rPr>
          <w:rFonts w:ascii="宋体" w:hAnsi="宋体"/>
          <w:bCs/>
          <w:color w:val="auto"/>
          <w:sz w:val="36"/>
          <w:szCs w:val="36"/>
          <w:highlight w:val="none"/>
        </w:rPr>
      </w:pPr>
    </w:p>
    <w:p w14:paraId="2F79A842">
      <w:pPr>
        <w:pageBreakBefore w:val="0"/>
        <w:kinsoku/>
        <w:overflowPunct/>
        <w:topLinePunct w:val="0"/>
        <w:bidi w:val="0"/>
        <w:snapToGrid/>
        <w:spacing w:line="560" w:lineRule="exact"/>
        <w:ind w:left="-359" w:leftChars="-171" w:firstLine="730" w:firstLineChars="203"/>
        <w:rPr>
          <w:rFonts w:ascii="宋体" w:hAnsi="宋体"/>
          <w:bCs/>
          <w:color w:val="auto"/>
          <w:sz w:val="36"/>
          <w:szCs w:val="36"/>
          <w:highlight w:val="none"/>
        </w:rPr>
      </w:pPr>
    </w:p>
    <w:p w14:paraId="536E3FC2">
      <w:pPr>
        <w:pageBreakBefore w:val="0"/>
        <w:kinsoku/>
        <w:overflowPunct/>
        <w:topLinePunct w:val="0"/>
        <w:bidi w:val="0"/>
        <w:snapToGrid/>
        <w:spacing w:line="560" w:lineRule="exact"/>
        <w:ind w:firstLine="1980" w:firstLineChars="550"/>
        <w:jc w:val="left"/>
        <w:rPr>
          <w:rFonts w:hint="default" w:ascii="宋体" w:hAnsi="宋体" w:eastAsia="宋体"/>
          <w:bCs/>
          <w:color w:val="auto"/>
          <w:sz w:val="36"/>
          <w:szCs w:val="36"/>
          <w:highlight w:val="none"/>
          <w:u w:val="single"/>
          <w:lang w:val="en-US" w:eastAsia="zh-CN"/>
        </w:rPr>
      </w:pPr>
      <w:r>
        <w:rPr>
          <w:rFonts w:hint="eastAsia" w:ascii="宋体" w:hAnsi="宋体"/>
          <w:bCs/>
          <w:color w:val="auto"/>
          <w:sz w:val="36"/>
          <w:szCs w:val="36"/>
          <w:highlight w:val="none"/>
        </w:rPr>
        <w:t>发包人：</w:t>
      </w:r>
      <w:r>
        <w:rPr>
          <w:rFonts w:hint="eastAsia" w:ascii="宋体" w:hAnsi="宋体"/>
          <w:bCs/>
          <w:color w:val="auto"/>
          <w:sz w:val="36"/>
          <w:szCs w:val="36"/>
          <w:highlight w:val="none"/>
          <w:u w:val="single"/>
          <w:lang w:val="en-US" w:eastAsia="zh-CN"/>
        </w:rPr>
        <w:t xml:space="preserve"> </w:t>
      </w:r>
      <w:r>
        <w:rPr>
          <w:rFonts w:hint="eastAsia" w:ascii="宋体" w:hAnsi="宋体"/>
          <w:bCs/>
          <w:color w:val="auto"/>
          <w:sz w:val="36"/>
          <w:szCs w:val="36"/>
          <w:highlight w:val="none"/>
          <w:u w:val="single"/>
        </w:rPr>
        <w:t>崇左市江州区交通运输局</w:t>
      </w:r>
      <w:r>
        <w:rPr>
          <w:rFonts w:hint="eastAsia" w:ascii="宋体" w:hAnsi="宋体"/>
          <w:bCs/>
          <w:color w:val="auto"/>
          <w:sz w:val="36"/>
          <w:szCs w:val="36"/>
          <w:highlight w:val="none"/>
          <w:u w:val="single"/>
          <w:lang w:val="en-US" w:eastAsia="zh-CN"/>
        </w:rPr>
        <w:t xml:space="preserve">  </w:t>
      </w:r>
    </w:p>
    <w:p w14:paraId="4C205FC4">
      <w:pPr>
        <w:pageBreakBefore w:val="0"/>
        <w:kinsoku/>
        <w:overflowPunct/>
        <w:topLinePunct w:val="0"/>
        <w:bidi w:val="0"/>
        <w:snapToGrid/>
        <w:spacing w:line="560" w:lineRule="exact"/>
        <w:rPr>
          <w:rFonts w:ascii="宋体" w:hAnsi="宋体"/>
          <w:bCs/>
          <w:color w:val="auto"/>
          <w:sz w:val="36"/>
          <w:szCs w:val="36"/>
          <w:highlight w:val="none"/>
        </w:rPr>
      </w:pPr>
    </w:p>
    <w:p w14:paraId="0248BA03">
      <w:pPr>
        <w:pageBreakBefore w:val="0"/>
        <w:kinsoku/>
        <w:overflowPunct/>
        <w:topLinePunct w:val="0"/>
        <w:bidi w:val="0"/>
        <w:snapToGrid/>
        <w:spacing w:line="560" w:lineRule="exact"/>
        <w:ind w:firstLine="1980" w:firstLineChars="550"/>
        <w:rPr>
          <w:rFonts w:hint="eastAsia" w:ascii="仿宋_GB2312" w:hAnsi="仿宋_GB2312" w:eastAsia="仿宋_GB2312" w:cs="仿宋_GB2312"/>
          <w:color w:val="auto"/>
          <w:sz w:val="28"/>
          <w:szCs w:val="28"/>
          <w:lang w:val="en-US" w:eastAsia="zh-CN"/>
        </w:rPr>
      </w:pPr>
      <w:r>
        <w:rPr>
          <w:rFonts w:hint="eastAsia" w:ascii="宋体" w:hAnsi="宋体"/>
          <w:bCs/>
          <w:color w:val="auto"/>
          <w:sz w:val="36"/>
          <w:szCs w:val="36"/>
          <w:highlight w:val="none"/>
        </w:rPr>
        <w:t>承包人：</w:t>
      </w:r>
      <w:r>
        <w:rPr>
          <w:rFonts w:hint="eastAsia" w:ascii="宋体" w:hAnsi="宋体"/>
          <w:bCs/>
          <w:color w:val="auto"/>
          <w:sz w:val="36"/>
          <w:szCs w:val="36"/>
          <w:highlight w:val="none"/>
          <w:u w:val="single"/>
          <w:lang w:val="en-US" w:eastAsia="zh-CN"/>
        </w:rPr>
        <w:t xml:space="preserve">                         </w:t>
      </w:r>
    </w:p>
    <w:p w14:paraId="45DD39F3">
      <w:pPr>
        <w:pStyle w:val="5"/>
        <w:pageBreakBefore w:val="0"/>
        <w:kinsoku/>
        <w:overflowPunct/>
        <w:topLinePunct w:val="0"/>
        <w:bidi w:val="0"/>
        <w:snapToGrid/>
        <w:spacing w:before="0" w:beforeLines="0" w:after="0" w:afterLines="0" w:line="560" w:lineRule="exact"/>
        <w:textAlignment w:val="auto"/>
        <w:rPr>
          <w:rFonts w:hint="eastAsia" w:ascii="仿宋_GB2312" w:hAnsi="仿宋_GB2312" w:eastAsia="仿宋_GB2312" w:cs="仿宋_GB2312"/>
          <w:color w:val="auto"/>
          <w:sz w:val="28"/>
          <w:szCs w:val="28"/>
          <w:highlight w:val="none"/>
        </w:rPr>
      </w:pPr>
    </w:p>
    <w:p w14:paraId="371BF611">
      <w:pPr>
        <w:pStyle w:val="5"/>
        <w:pageBreakBefore w:val="0"/>
        <w:kinsoku/>
        <w:overflowPunct/>
        <w:topLinePunct w:val="0"/>
        <w:bidi w:val="0"/>
        <w:snapToGrid/>
        <w:spacing w:before="0" w:beforeLines="0" w:after="0" w:afterLines="0" w:line="560" w:lineRule="exact"/>
        <w:jc w:val="both"/>
        <w:textAlignment w:val="auto"/>
        <w:rPr>
          <w:rFonts w:hint="eastAsia" w:ascii="仿宋_GB2312" w:hAnsi="仿宋_GB2312" w:eastAsia="仿宋_GB2312" w:cs="仿宋_GB2312"/>
          <w:color w:val="auto"/>
          <w:sz w:val="28"/>
          <w:szCs w:val="28"/>
          <w:highlight w:val="none"/>
        </w:rPr>
      </w:pPr>
    </w:p>
    <w:p w14:paraId="5224CA52">
      <w:pPr>
        <w:pStyle w:val="5"/>
        <w:pageBreakBefore w:val="0"/>
        <w:kinsoku/>
        <w:overflowPunct/>
        <w:topLinePunct w:val="0"/>
        <w:bidi w:val="0"/>
        <w:snapToGrid/>
        <w:spacing w:before="0" w:beforeLines="0" w:after="0" w:afterLines="0" w:line="560" w:lineRule="exact"/>
        <w:jc w:val="both"/>
        <w:textAlignment w:val="auto"/>
        <w:rPr>
          <w:rFonts w:hint="eastAsia" w:ascii="仿宋_GB2312" w:hAnsi="仿宋_GB2312" w:eastAsia="仿宋_GB2312" w:cs="仿宋_GB2312"/>
          <w:color w:val="auto"/>
          <w:sz w:val="28"/>
          <w:szCs w:val="28"/>
          <w:highlight w:val="none"/>
        </w:rPr>
      </w:pPr>
    </w:p>
    <w:p w14:paraId="47BE8CEF">
      <w:pPr>
        <w:rPr>
          <w:rFonts w:hint="eastAsia"/>
        </w:rPr>
      </w:pPr>
    </w:p>
    <w:p w14:paraId="4081311B">
      <w:pPr>
        <w:pStyle w:val="5"/>
        <w:pageBreakBefore w:val="0"/>
        <w:kinsoku/>
        <w:overflowPunct/>
        <w:topLinePunct w:val="0"/>
        <w:bidi w:val="0"/>
        <w:snapToGrid/>
        <w:spacing w:before="0" w:beforeLines="0" w:after="0" w:afterLines="0" w:line="600" w:lineRule="exact"/>
        <w:jc w:val="center"/>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第一部分 合同协议书</w:t>
      </w:r>
    </w:p>
    <w:p w14:paraId="5E449353">
      <w:pPr>
        <w:pStyle w:val="19"/>
        <w:keepNext w:val="0"/>
        <w:keepLines w:val="0"/>
        <w:pageBreakBefore w:val="0"/>
        <w:widowControl w:val="0"/>
        <w:tabs>
          <w:tab w:val="left" w:pos="6547"/>
        </w:tabs>
        <w:kinsoku/>
        <w:wordWrap/>
        <w:overflowPunct/>
        <w:topLinePunct w:val="0"/>
        <w:bidi w:val="0"/>
        <w:snapToGrid/>
        <w:spacing w:line="6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pacing w:val="-1"/>
          <w:sz w:val="28"/>
          <w:szCs w:val="28"/>
          <w:highlight w:val="none"/>
        </w:rPr>
        <w:t>人（</w:t>
      </w:r>
      <w:r>
        <w:rPr>
          <w:rFonts w:hint="eastAsia" w:ascii="宋体" w:hAnsi="宋体" w:eastAsia="宋体" w:cs="宋体"/>
          <w:color w:val="auto"/>
          <w:spacing w:val="-3"/>
          <w:sz w:val="28"/>
          <w:szCs w:val="28"/>
          <w:highlight w:val="none"/>
        </w:rPr>
        <w:t>全</w:t>
      </w:r>
      <w:r>
        <w:rPr>
          <w:rFonts w:hint="eastAsia" w:ascii="宋体" w:hAnsi="宋体" w:eastAsia="宋体" w:cs="宋体"/>
          <w:color w:val="auto"/>
          <w:spacing w:val="-1"/>
          <w:sz w:val="28"/>
          <w:szCs w:val="28"/>
          <w:highlight w:val="none"/>
        </w:rPr>
        <w:t>称）：</w:t>
      </w:r>
      <w:r>
        <w:rPr>
          <w:rFonts w:hint="eastAsia" w:ascii="宋体" w:hAnsi="宋体" w:eastAsia="宋体" w:cs="宋体"/>
          <w:color w:val="auto"/>
          <w:sz w:val="28"/>
          <w:szCs w:val="28"/>
          <w:highlight w:val="none"/>
          <w:u w:val="single"/>
        </w:rPr>
        <w:t xml:space="preserve"> 崇左市江州区交通运输局</w:t>
      </w:r>
    </w:p>
    <w:p w14:paraId="2C4C333D">
      <w:pPr>
        <w:pStyle w:val="19"/>
        <w:keepNext w:val="0"/>
        <w:keepLines w:val="0"/>
        <w:pageBreakBefore w:val="0"/>
        <w:widowControl w:val="0"/>
        <w:tabs>
          <w:tab w:val="left" w:pos="6547"/>
        </w:tabs>
        <w:kinsoku/>
        <w:wordWrap/>
        <w:overflowPunct/>
        <w:topLinePunct w:val="0"/>
        <w:bidi w:val="0"/>
        <w:snapToGrid/>
        <w:spacing w:line="600" w:lineRule="exact"/>
        <w:ind w:left="332"/>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pacing w:val="-1"/>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pacing w:val="-1"/>
          <w:sz w:val="28"/>
          <w:szCs w:val="28"/>
          <w:highlight w:val="none"/>
        </w:rPr>
        <w:t>人（</w:t>
      </w:r>
      <w:r>
        <w:rPr>
          <w:rFonts w:hint="eastAsia" w:ascii="宋体" w:hAnsi="宋体" w:eastAsia="宋体" w:cs="宋体"/>
          <w:color w:val="auto"/>
          <w:spacing w:val="-3"/>
          <w:sz w:val="28"/>
          <w:szCs w:val="28"/>
          <w:highlight w:val="none"/>
        </w:rPr>
        <w:t>全</w:t>
      </w:r>
      <w:r>
        <w:rPr>
          <w:rFonts w:hint="eastAsia" w:ascii="宋体" w:hAnsi="宋体" w:eastAsia="宋体" w:cs="宋体"/>
          <w:color w:val="auto"/>
          <w:spacing w:val="-1"/>
          <w:sz w:val="28"/>
          <w:szCs w:val="28"/>
          <w:highlight w:val="none"/>
        </w:rPr>
        <w:t>称）</w:t>
      </w:r>
      <w:r>
        <w:rPr>
          <w:rFonts w:hint="eastAsia" w:ascii="宋体" w:hAnsi="宋体" w:eastAsia="宋体" w:cs="宋体"/>
          <w:color w:val="auto"/>
          <w:spacing w:val="-1"/>
          <w:sz w:val="28"/>
          <w:szCs w:val="28"/>
          <w:highlight w:val="none"/>
          <w:lang w:eastAsia="zh-CN"/>
        </w:rPr>
        <w:t>：</w:t>
      </w:r>
      <w:r>
        <w:rPr>
          <w:rFonts w:hint="eastAsia" w:ascii="宋体" w:hAnsi="宋体" w:eastAsia="宋体" w:cs="宋体"/>
          <w:color w:val="auto"/>
          <w:spacing w:val="-1"/>
          <w:sz w:val="28"/>
          <w:szCs w:val="28"/>
          <w:highlight w:val="none"/>
          <w:u w:val="single"/>
          <w:lang w:val="en-US" w:eastAsia="zh-CN"/>
        </w:rPr>
        <w:t xml:space="preserve">                       </w:t>
      </w:r>
    </w:p>
    <w:p w14:paraId="3AE9D7B0">
      <w:pPr>
        <w:pStyle w:val="19"/>
        <w:keepNext w:val="0"/>
        <w:keepLines w:val="0"/>
        <w:pageBreakBefore w:val="0"/>
        <w:widowControl w:val="0"/>
        <w:kinsoku/>
        <w:wordWrap/>
        <w:overflowPunct/>
        <w:topLinePunct w:val="0"/>
        <w:bidi w:val="0"/>
        <w:snapToGrid/>
        <w:spacing w:line="600" w:lineRule="exact"/>
        <w:ind w:left="332" w:right="332" w:firstLine="532"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7"/>
          <w:sz w:val="28"/>
          <w:szCs w:val="28"/>
          <w:highlight w:val="none"/>
        </w:rPr>
        <w:t>根据《中华人民共和国</w:t>
      </w:r>
      <w:r>
        <w:rPr>
          <w:rFonts w:hint="eastAsia" w:ascii="宋体" w:hAnsi="宋体" w:eastAsia="宋体" w:cs="宋体"/>
          <w:color w:val="auto"/>
          <w:spacing w:val="-7"/>
          <w:sz w:val="28"/>
          <w:szCs w:val="28"/>
          <w:highlight w:val="none"/>
          <w:lang w:val="en-US" w:eastAsia="zh-CN"/>
        </w:rPr>
        <w:t>民法典</w:t>
      </w:r>
      <w:r>
        <w:rPr>
          <w:rFonts w:hint="eastAsia" w:ascii="宋体" w:hAnsi="宋体" w:eastAsia="宋体" w:cs="宋体"/>
          <w:color w:val="auto"/>
          <w:spacing w:val="-7"/>
          <w:sz w:val="28"/>
          <w:szCs w:val="28"/>
          <w:highlight w:val="none"/>
        </w:rPr>
        <w:t>》及有关法律规定，遵循平等、自愿、公平和诚实信用的原则，双方就</w:t>
      </w:r>
      <w:r>
        <w:rPr>
          <w:rFonts w:hint="eastAsia" w:ascii="宋体" w:hAnsi="宋体" w:eastAsia="宋体" w:cs="宋体"/>
          <w:color w:val="auto"/>
          <w:spacing w:val="-3"/>
          <w:sz w:val="28"/>
          <w:szCs w:val="28"/>
          <w:highlight w:val="none"/>
        </w:rPr>
        <w:t>及有关事项协商一致，共同达成如下协议：</w:t>
      </w:r>
    </w:p>
    <w:p w14:paraId="1E494AF8">
      <w:pPr>
        <w:keepNext w:val="0"/>
        <w:keepLines w:val="0"/>
        <w:pageBreakBefore w:val="0"/>
        <w:widowControl w:val="0"/>
        <w:kinsoku/>
        <w:wordWrap/>
        <w:overflowPunct/>
        <w:topLinePunct w:val="0"/>
        <w:bidi w:val="0"/>
        <w:snapToGrid/>
        <w:spacing w:line="600" w:lineRule="exact"/>
        <w:ind w:left="332" w:right="0"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一、工程概况</w:t>
      </w:r>
    </w:p>
    <w:p w14:paraId="55938C7F">
      <w:pPr>
        <w:pStyle w:val="196"/>
        <w:keepNext w:val="0"/>
        <w:keepLines w:val="0"/>
        <w:pageBreakBefore w:val="0"/>
        <w:widowControl w:val="0"/>
        <w:numPr>
          <w:ilvl w:val="0"/>
          <w:numId w:val="0"/>
        </w:numPr>
        <w:tabs>
          <w:tab w:val="left" w:pos="664"/>
          <w:tab w:val="left" w:pos="5394"/>
        </w:tabs>
        <w:kinsoku/>
        <w:wordWrap/>
        <w:overflowPunct/>
        <w:topLinePunct w:val="0"/>
        <w:bidi w:val="0"/>
        <w:snapToGrid/>
        <w:spacing w:line="600" w:lineRule="exact"/>
        <w:ind w:right="0" w:rightChars="0" w:firstLine="840" w:firstLineChars="3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名称</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rPr>
        <w:t xml:space="preserve"> </w:t>
      </w:r>
      <w:r>
        <w:rPr>
          <w:rFonts w:hint="eastAsia" w:ascii="宋体" w:hAnsi="宋体" w:eastAsia="宋体" w:cs="宋体"/>
          <w:color w:val="auto"/>
          <w:spacing w:val="-3"/>
          <w:sz w:val="28"/>
          <w:szCs w:val="28"/>
          <w:highlight w:val="none"/>
          <w:u w:val="single"/>
          <w:lang w:val="en-US" w:eastAsia="zh-CN"/>
        </w:rPr>
        <w:t xml:space="preserve">                               </w:t>
      </w:r>
      <w:r>
        <w:rPr>
          <w:rFonts w:hint="eastAsia" w:ascii="宋体" w:hAnsi="宋体" w:eastAsia="宋体" w:cs="宋体"/>
          <w:color w:val="auto"/>
          <w:spacing w:val="-3"/>
          <w:sz w:val="28"/>
          <w:szCs w:val="28"/>
          <w:highlight w:val="none"/>
          <w:u w:val="single"/>
          <w:lang w:eastAsia="zh-CN"/>
        </w:rPr>
        <w:t xml:space="preserve">  </w:t>
      </w:r>
      <w:r>
        <w:rPr>
          <w:rFonts w:hint="eastAsia" w:ascii="宋体" w:hAnsi="宋体" w:eastAsia="宋体" w:cs="宋体"/>
          <w:color w:val="auto"/>
          <w:sz w:val="28"/>
          <w:szCs w:val="28"/>
          <w:highlight w:val="none"/>
        </w:rPr>
        <w:t>。</w:t>
      </w:r>
    </w:p>
    <w:p w14:paraId="041660C9">
      <w:pPr>
        <w:pStyle w:val="196"/>
        <w:keepNext w:val="0"/>
        <w:keepLines w:val="0"/>
        <w:pageBreakBefore w:val="0"/>
        <w:widowControl w:val="0"/>
        <w:numPr>
          <w:ilvl w:val="0"/>
          <w:numId w:val="0"/>
        </w:numPr>
        <w:tabs>
          <w:tab w:val="left" w:pos="664"/>
          <w:tab w:val="left" w:pos="5394"/>
        </w:tabs>
        <w:kinsoku/>
        <w:wordWrap/>
        <w:overflowPunct/>
        <w:topLinePunct w:val="0"/>
        <w:bidi w:val="0"/>
        <w:snapToGrid/>
        <w:spacing w:line="600" w:lineRule="exact"/>
        <w:ind w:right="0" w:rightChars="0" w:firstLine="840" w:firstLineChars="3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地点</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rPr>
        <w:t xml:space="preserve"> </w:t>
      </w:r>
      <w:r>
        <w:rPr>
          <w:rFonts w:hint="eastAsia" w:ascii="宋体" w:hAnsi="宋体" w:eastAsia="宋体" w:cs="宋体"/>
          <w:color w:val="auto"/>
          <w:spacing w:val="-3"/>
          <w:sz w:val="28"/>
          <w:szCs w:val="28"/>
          <w:highlight w:val="none"/>
          <w:u w:val="single"/>
          <w:lang w:eastAsia="zh-CN"/>
        </w:rPr>
        <w:t>崇左市</w:t>
      </w:r>
      <w:r>
        <w:rPr>
          <w:rFonts w:hint="eastAsia" w:ascii="宋体" w:hAnsi="宋体" w:eastAsia="宋体" w:cs="宋体"/>
          <w:color w:val="auto"/>
          <w:spacing w:val="-3"/>
          <w:sz w:val="28"/>
          <w:szCs w:val="28"/>
          <w:highlight w:val="none"/>
          <w:u w:val="single"/>
        </w:rPr>
        <w:t>江州区</w:t>
      </w:r>
      <w:r>
        <w:rPr>
          <w:rFonts w:hint="eastAsia" w:ascii="宋体" w:hAnsi="宋体" w:eastAsia="宋体" w:cs="宋体"/>
          <w:color w:val="auto"/>
          <w:sz w:val="28"/>
          <w:szCs w:val="28"/>
          <w:highlight w:val="none"/>
        </w:rPr>
        <w:t>。</w:t>
      </w:r>
    </w:p>
    <w:p w14:paraId="3251D18A">
      <w:pPr>
        <w:pStyle w:val="196"/>
        <w:keepNext w:val="0"/>
        <w:keepLines w:val="0"/>
        <w:pageBreakBefore w:val="0"/>
        <w:widowControl w:val="0"/>
        <w:numPr>
          <w:ilvl w:val="0"/>
          <w:numId w:val="0"/>
        </w:numPr>
        <w:tabs>
          <w:tab w:val="left" w:pos="664"/>
          <w:tab w:val="left" w:pos="5833"/>
        </w:tabs>
        <w:kinsoku/>
        <w:wordWrap/>
        <w:overflowPunct/>
        <w:topLinePunct w:val="0"/>
        <w:bidi w:val="0"/>
        <w:snapToGrid/>
        <w:spacing w:line="600" w:lineRule="exact"/>
        <w:ind w:right="0" w:rightChars="0" w:firstLine="840" w:firstLineChars="3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立项</w:t>
      </w:r>
      <w:r>
        <w:rPr>
          <w:rFonts w:hint="eastAsia" w:ascii="宋体" w:hAnsi="宋体" w:eastAsia="宋体" w:cs="宋体"/>
          <w:color w:val="auto"/>
          <w:spacing w:val="-3"/>
          <w:sz w:val="28"/>
          <w:szCs w:val="28"/>
          <w:highlight w:val="none"/>
        </w:rPr>
        <w:t>批</w:t>
      </w:r>
      <w:r>
        <w:rPr>
          <w:rFonts w:hint="eastAsia" w:ascii="宋体" w:hAnsi="宋体" w:eastAsia="宋体" w:cs="宋体"/>
          <w:color w:val="auto"/>
          <w:sz w:val="28"/>
          <w:szCs w:val="28"/>
          <w:highlight w:val="none"/>
        </w:rPr>
        <w:t>准文</w:t>
      </w:r>
      <w:r>
        <w:rPr>
          <w:rFonts w:hint="eastAsia" w:ascii="宋体" w:hAnsi="宋体" w:eastAsia="宋体" w:cs="宋体"/>
          <w:color w:val="auto"/>
          <w:spacing w:val="-3"/>
          <w:sz w:val="28"/>
          <w:szCs w:val="28"/>
          <w:highlight w:val="none"/>
        </w:rPr>
        <w:t>号</w:t>
      </w:r>
      <w:r>
        <w:rPr>
          <w:rFonts w:hint="eastAsia" w:ascii="宋体" w:hAnsi="宋体" w:eastAsia="宋体" w:cs="宋体"/>
          <w:color w:val="auto"/>
          <w:sz w:val="28"/>
          <w:szCs w:val="28"/>
          <w:highlight w:val="none"/>
        </w:rPr>
        <w:t>：</w:t>
      </w:r>
    </w:p>
    <w:p w14:paraId="112AFA84">
      <w:pPr>
        <w:pStyle w:val="196"/>
        <w:keepNext w:val="0"/>
        <w:keepLines w:val="0"/>
        <w:pageBreakBefore w:val="0"/>
        <w:widowControl w:val="0"/>
        <w:numPr>
          <w:ilvl w:val="0"/>
          <w:numId w:val="0"/>
        </w:numPr>
        <w:tabs>
          <w:tab w:val="left" w:pos="664"/>
        </w:tabs>
        <w:kinsoku/>
        <w:wordWrap/>
        <w:overflowPunct/>
        <w:topLinePunct w:val="0"/>
        <w:bidi w:val="0"/>
        <w:snapToGrid/>
        <w:spacing w:line="600" w:lineRule="exact"/>
        <w:ind w:right="0" w:rightChars="0" w:firstLine="822" w:firstLineChars="3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4.</w:t>
      </w:r>
      <w:r>
        <w:rPr>
          <w:rFonts w:hint="eastAsia" w:ascii="宋体" w:hAnsi="宋体" w:eastAsia="宋体" w:cs="宋体"/>
          <w:color w:val="auto"/>
          <w:spacing w:val="-3"/>
          <w:sz w:val="28"/>
          <w:szCs w:val="28"/>
          <w:highlight w:val="none"/>
        </w:rPr>
        <w:t>资金来源：</w:t>
      </w:r>
      <w:r>
        <w:rPr>
          <w:rFonts w:hint="eastAsia" w:ascii="宋体" w:hAnsi="宋体" w:eastAsia="宋体" w:cs="宋体"/>
          <w:color w:val="auto"/>
          <w:spacing w:val="-2"/>
          <w:sz w:val="28"/>
          <w:szCs w:val="28"/>
          <w:highlight w:val="none"/>
          <w:u w:val="single"/>
        </w:rPr>
        <w:t>财政资金</w:t>
      </w:r>
      <w:r>
        <w:rPr>
          <w:rFonts w:hint="eastAsia" w:ascii="宋体" w:hAnsi="宋体" w:eastAsia="宋体" w:cs="宋体"/>
          <w:color w:val="auto"/>
          <w:sz w:val="28"/>
          <w:szCs w:val="28"/>
          <w:highlight w:val="none"/>
        </w:rPr>
        <w:t>。</w:t>
      </w:r>
    </w:p>
    <w:p w14:paraId="4553B1A1">
      <w:pPr>
        <w:pStyle w:val="196"/>
        <w:keepNext w:val="0"/>
        <w:keepLines w:val="0"/>
        <w:pageBreakBefore w:val="0"/>
        <w:widowControl w:val="0"/>
        <w:numPr>
          <w:ilvl w:val="0"/>
          <w:numId w:val="0"/>
        </w:numPr>
        <w:tabs>
          <w:tab w:val="left" w:pos="664"/>
          <w:tab w:val="left" w:pos="2423"/>
        </w:tabs>
        <w:kinsoku/>
        <w:wordWrap/>
        <w:overflowPunct/>
        <w:topLinePunct w:val="0"/>
        <w:bidi w:val="0"/>
        <w:snapToGrid/>
        <w:spacing w:line="600" w:lineRule="exact"/>
        <w:ind w:right="0" w:rightChars="0" w:firstLine="840" w:firstLineChars="3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内容</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rPr>
        <w:t>工程量清单范围内包含的全部内容</w:t>
      </w:r>
    </w:p>
    <w:p w14:paraId="76DFD2E6">
      <w:pPr>
        <w:pStyle w:val="196"/>
        <w:keepNext w:val="0"/>
        <w:keepLines w:val="0"/>
        <w:pageBreakBefore w:val="0"/>
        <w:widowControl w:val="0"/>
        <w:numPr>
          <w:ilvl w:val="0"/>
          <w:numId w:val="0"/>
        </w:numPr>
        <w:tabs>
          <w:tab w:val="left" w:pos="664"/>
          <w:tab w:val="left" w:pos="9680"/>
        </w:tabs>
        <w:kinsoku/>
        <w:wordWrap/>
        <w:overflowPunct/>
        <w:topLinePunct w:val="0"/>
        <w:bidi w:val="0"/>
        <w:snapToGrid/>
        <w:spacing w:line="600" w:lineRule="exact"/>
        <w:ind w:right="3500" w:rightChars="0" w:firstLine="810" w:firstLineChars="300"/>
        <w:jc w:val="left"/>
        <w:textAlignment w:val="auto"/>
        <w:rPr>
          <w:rFonts w:hint="eastAsia" w:ascii="宋体" w:hAnsi="宋体" w:eastAsia="宋体" w:cs="宋体"/>
          <w:b/>
          <w:color w:val="auto"/>
          <w:sz w:val="28"/>
          <w:szCs w:val="28"/>
          <w:highlight w:val="none"/>
        </w:rPr>
      </w:pPr>
      <w:r>
        <w:rPr>
          <w:rFonts w:hint="eastAsia" w:ascii="宋体" w:hAnsi="宋体" w:eastAsia="宋体" w:cs="宋体"/>
          <w:color w:val="auto"/>
          <w:spacing w:val="-5"/>
          <w:sz w:val="28"/>
          <w:szCs w:val="28"/>
          <w:highlight w:val="none"/>
          <w:lang w:val="en-US" w:eastAsia="zh-CN"/>
        </w:rPr>
        <w:t>6.</w:t>
      </w:r>
      <w:r>
        <w:rPr>
          <w:rFonts w:hint="eastAsia" w:ascii="宋体" w:hAnsi="宋体" w:eastAsia="宋体" w:cs="宋体"/>
          <w:color w:val="auto"/>
          <w:spacing w:val="-5"/>
          <w:sz w:val="28"/>
          <w:szCs w:val="28"/>
          <w:highlight w:val="none"/>
        </w:rPr>
        <w:t xml:space="preserve">工程承包范围： </w:t>
      </w:r>
      <w:r>
        <w:rPr>
          <w:rFonts w:hint="eastAsia" w:ascii="宋体" w:hAnsi="宋体" w:eastAsia="宋体" w:cs="宋体"/>
          <w:color w:val="auto"/>
          <w:spacing w:val="-5"/>
          <w:sz w:val="28"/>
          <w:szCs w:val="28"/>
          <w:highlight w:val="none"/>
          <w:u w:val="single"/>
        </w:rPr>
        <w:t>施工图纸及工程量清单</w:t>
      </w:r>
      <w:r>
        <w:rPr>
          <w:rFonts w:hint="eastAsia" w:ascii="宋体" w:hAnsi="宋体" w:eastAsia="宋体" w:cs="宋体"/>
          <w:color w:val="auto"/>
          <w:spacing w:val="-5"/>
          <w:sz w:val="28"/>
          <w:szCs w:val="28"/>
          <w:highlight w:val="none"/>
          <w:u w:val="single"/>
          <w:lang w:eastAsia="zh-CN"/>
        </w:rPr>
        <w:t>。</w:t>
      </w:r>
    </w:p>
    <w:p w14:paraId="3E8434CD">
      <w:pPr>
        <w:pStyle w:val="196"/>
        <w:keepNext w:val="0"/>
        <w:keepLines w:val="0"/>
        <w:pageBreakBefore w:val="0"/>
        <w:widowControl w:val="0"/>
        <w:numPr>
          <w:ilvl w:val="0"/>
          <w:numId w:val="0"/>
        </w:numPr>
        <w:tabs>
          <w:tab w:val="left" w:pos="664"/>
        </w:tabs>
        <w:kinsoku/>
        <w:wordWrap/>
        <w:overflowPunct/>
        <w:topLinePunct w:val="0"/>
        <w:bidi w:val="0"/>
        <w:snapToGrid/>
        <w:spacing w:line="600" w:lineRule="exact"/>
        <w:ind w:left="332" w:leftChars="0" w:right="3500" w:rightChars="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二、合同工期</w:t>
      </w:r>
    </w:p>
    <w:p w14:paraId="68EB9AE8">
      <w:pPr>
        <w:pStyle w:val="19"/>
        <w:keepNext w:val="0"/>
        <w:keepLines w:val="0"/>
        <w:pageBreakBefore w:val="0"/>
        <w:widowControl w:val="0"/>
        <w:tabs>
          <w:tab w:val="left" w:pos="2972"/>
          <w:tab w:val="left" w:pos="3853"/>
          <w:tab w:val="left" w:pos="4734"/>
        </w:tabs>
        <w:kinsoku/>
        <w:wordWrap/>
        <w:overflowPunct/>
        <w:topLinePunct w:val="0"/>
        <w:bidi w:val="0"/>
        <w:snapToGrid/>
        <w:spacing w:line="600" w:lineRule="exact"/>
        <w:ind w:left="332" w:right="205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开工</w:t>
      </w:r>
      <w:r>
        <w:rPr>
          <w:rFonts w:hint="eastAsia" w:ascii="宋体" w:hAnsi="宋体" w:eastAsia="宋体" w:cs="宋体"/>
          <w:color w:val="auto"/>
          <w:spacing w:val="-3"/>
          <w:sz w:val="28"/>
          <w:szCs w:val="28"/>
          <w:highlight w:val="none"/>
        </w:rPr>
        <w:t>日</w:t>
      </w:r>
      <w:r>
        <w:rPr>
          <w:rFonts w:hint="eastAsia" w:ascii="宋体" w:hAnsi="宋体" w:eastAsia="宋体" w:cs="宋体"/>
          <w:color w:val="auto"/>
          <w:sz w:val="28"/>
          <w:szCs w:val="28"/>
          <w:highlight w:val="none"/>
        </w:rPr>
        <w:t>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auto"/>
          <w:spacing w:val="-3"/>
          <w:sz w:val="28"/>
          <w:szCs w:val="28"/>
          <w:highlight w:val="none"/>
        </w:rPr>
        <w:t>。</w:t>
      </w:r>
    </w:p>
    <w:p w14:paraId="55912DA3">
      <w:pPr>
        <w:pStyle w:val="19"/>
        <w:keepNext w:val="0"/>
        <w:keepLines w:val="0"/>
        <w:pageBreakBefore w:val="0"/>
        <w:widowControl w:val="0"/>
        <w:tabs>
          <w:tab w:val="left" w:pos="2972"/>
          <w:tab w:val="left" w:pos="3853"/>
          <w:tab w:val="left" w:pos="4734"/>
        </w:tabs>
        <w:kinsoku/>
        <w:wordWrap/>
        <w:overflowPunct/>
        <w:topLinePunct w:val="0"/>
        <w:bidi w:val="0"/>
        <w:snapToGrid/>
        <w:spacing w:line="600" w:lineRule="exact"/>
        <w:ind w:left="332" w:right="205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日</w:t>
      </w:r>
      <w:r>
        <w:rPr>
          <w:rFonts w:hint="eastAsia" w:ascii="宋体" w:hAnsi="宋体" w:eastAsia="宋体" w:cs="宋体"/>
          <w:color w:val="auto"/>
          <w:sz w:val="28"/>
          <w:szCs w:val="28"/>
          <w:highlight w:val="none"/>
        </w:rPr>
        <w:t>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p>
    <w:p w14:paraId="1F4F086D">
      <w:pPr>
        <w:pStyle w:val="19"/>
        <w:keepNext w:val="0"/>
        <w:keepLines w:val="0"/>
        <w:pageBreakBefore w:val="0"/>
        <w:widowControl w:val="0"/>
        <w:tabs>
          <w:tab w:val="left" w:pos="3174"/>
        </w:tabs>
        <w:kinsoku/>
        <w:wordWrap/>
        <w:overflowPunct/>
        <w:topLinePunct w:val="0"/>
        <w:bidi w:val="0"/>
        <w:snapToGrid/>
        <w:spacing w:line="600" w:lineRule="exact"/>
        <w:ind w:left="332" w:right="33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总日</w:t>
      </w:r>
      <w:r>
        <w:rPr>
          <w:rFonts w:hint="eastAsia" w:ascii="宋体" w:hAnsi="宋体" w:eastAsia="宋体" w:cs="宋体"/>
          <w:color w:val="auto"/>
          <w:spacing w:val="-3"/>
          <w:sz w:val="28"/>
          <w:szCs w:val="28"/>
          <w:highlight w:val="none"/>
        </w:rPr>
        <w:t>历</w:t>
      </w:r>
      <w:r>
        <w:rPr>
          <w:rFonts w:hint="eastAsia" w:ascii="宋体" w:hAnsi="宋体" w:eastAsia="宋体" w:cs="宋体"/>
          <w:color w:val="auto"/>
          <w:sz w:val="28"/>
          <w:szCs w:val="28"/>
          <w:highlight w:val="none"/>
        </w:rPr>
        <w:t>天数</w:t>
      </w:r>
      <w:r>
        <w:rPr>
          <w:rFonts w:hint="eastAsia" w:ascii="宋体" w:hAnsi="宋体" w:eastAsia="宋体" w:cs="宋体"/>
          <w:color w:val="auto"/>
          <w:spacing w:val="-20"/>
          <w:sz w:val="28"/>
          <w:szCs w:val="28"/>
          <w:highlight w:val="none"/>
        </w:rPr>
        <w:t>：</w:t>
      </w:r>
      <w:r>
        <w:rPr>
          <w:rFonts w:hint="eastAsia" w:ascii="宋体" w:hAnsi="宋体" w:eastAsia="宋体" w:cs="宋体"/>
          <w:color w:val="auto"/>
          <w:spacing w:val="-20"/>
          <w:sz w:val="28"/>
          <w:szCs w:val="28"/>
          <w:highlight w:val="none"/>
          <w:u w:val="single"/>
          <w:lang w:val="en-US" w:eastAsia="zh-CN"/>
        </w:rPr>
        <w:t xml:space="preserve">     </w:t>
      </w:r>
      <w:r>
        <w:rPr>
          <w:rFonts w:hint="eastAsia" w:ascii="宋体" w:hAnsi="宋体" w:eastAsia="宋体" w:cs="宋体"/>
          <w:color w:val="auto"/>
          <w:sz w:val="28"/>
          <w:szCs w:val="28"/>
          <w:highlight w:val="none"/>
        </w:rPr>
        <w:t>天</w:t>
      </w:r>
      <w:r>
        <w:rPr>
          <w:rFonts w:hint="eastAsia" w:ascii="宋体" w:hAnsi="宋体" w:eastAsia="宋体" w:cs="宋体"/>
          <w:color w:val="auto"/>
          <w:spacing w:val="-20"/>
          <w:sz w:val="28"/>
          <w:szCs w:val="28"/>
          <w:highlight w:val="none"/>
        </w:rPr>
        <w:t>。</w:t>
      </w: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总日</w:t>
      </w:r>
      <w:r>
        <w:rPr>
          <w:rFonts w:hint="eastAsia" w:ascii="宋体" w:hAnsi="宋体" w:eastAsia="宋体" w:cs="宋体"/>
          <w:color w:val="auto"/>
          <w:spacing w:val="-3"/>
          <w:sz w:val="28"/>
          <w:szCs w:val="28"/>
          <w:highlight w:val="none"/>
        </w:rPr>
        <w:t>历</w:t>
      </w:r>
      <w:r>
        <w:rPr>
          <w:rFonts w:hint="eastAsia" w:ascii="宋体" w:hAnsi="宋体" w:eastAsia="宋体" w:cs="宋体"/>
          <w:color w:val="auto"/>
          <w:sz w:val="28"/>
          <w:szCs w:val="28"/>
          <w:highlight w:val="none"/>
        </w:rPr>
        <w:t>天数</w:t>
      </w:r>
      <w:r>
        <w:rPr>
          <w:rFonts w:hint="eastAsia" w:ascii="宋体" w:hAnsi="宋体" w:eastAsia="宋体" w:cs="宋体"/>
          <w:color w:val="auto"/>
          <w:spacing w:val="-3"/>
          <w:sz w:val="28"/>
          <w:szCs w:val="28"/>
          <w:highlight w:val="none"/>
        </w:rPr>
        <w:t>与</w:t>
      </w:r>
      <w:r>
        <w:rPr>
          <w:rFonts w:hint="eastAsia" w:ascii="宋体" w:hAnsi="宋体" w:eastAsia="宋体" w:cs="宋体"/>
          <w:color w:val="auto"/>
          <w:sz w:val="28"/>
          <w:szCs w:val="28"/>
          <w:highlight w:val="none"/>
        </w:rPr>
        <w:t>根据</w:t>
      </w:r>
      <w:r>
        <w:rPr>
          <w:rFonts w:hint="eastAsia" w:ascii="宋体" w:hAnsi="宋体" w:eastAsia="宋体" w:cs="宋体"/>
          <w:color w:val="auto"/>
          <w:spacing w:val="-3"/>
          <w:sz w:val="28"/>
          <w:szCs w:val="28"/>
          <w:highlight w:val="none"/>
        </w:rPr>
        <w:t>前</w:t>
      </w:r>
      <w:r>
        <w:rPr>
          <w:rFonts w:hint="eastAsia" w:ascii="宋体" w:hAnsi="宋体" w:eastAsia="宋体" w:cs="宋体"/>
          <w:color w:val="auto"/>
          <w:sz w:val="28"/>
          <w:szCs w:val="28"/>
          <w:highlight w:val="none"/>
        </w:rPr>
        <w:t>述计</w:t>
      </w:r>
      <w:r>
        <w:rPr>
          <w:rFonts w:hint="eastAsia" w:ascii="宋体" w:hAnsi="宋体" w:eastAsia="宋体" w:cs="宋体"/>
          <w:color w:val="auto"/>
          <w:spacing w:val="-3"/>
          <w:sz w:val="28"/>
          <w:szCs w:val="28"/>
          <w:highlight w:val="none"/>
        </w:rPr>
        <w:t>划</w:t>
      </w:r>
      <w:r>
        <w:rPr>
          <w:rFonts w:hint="eastAsia" w:ascii="宋体" w:hAnsi="宋体" w:eastAsia="宋体" w:cs="宋体"/>
          <w:color w:val="auto"/>
          <w:sz w:val="28"/>
          <w:szCs w:val="28"/>
          <w:highlight w:val="none"/>
        </w:rPr>
        <w:t>开竣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日期</w:t>
      </w:r>
      <w:r>
        <w:rPr>
          <w:rFonts w:hint="eastAsia" w:ascii="宋体" w:hAnsi="宋体" w:eastAsia="宋体" w:cs="宋体"/>
          <w:color w:val="auto"/>
          <w:spacing w:val="-3"/>
          <w:sz w:val="28"/>
          <w:szCs w:val="28"/>
          <w:highlight w:val="none"/>
        </w:rPr>
        <w:t>计</w:t>
      </w:r>
      <w:r>
        <w:rPr>
          <w:rFonts w:hint="eastAsia" w:ascii="宋体" w:hAnsi="宋体" w:eastAsia="宋体" w:cs="宋体"/>
          <w:color w:val="auto"/>
          <w:sz w:val="28"/>
          <w:szCs w:val="28"/>
          <w:highlight w:val="none"/>
        </w:rPr>
        <w:t>算的</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期天</w:t>
      </w:r>
      <w:r>
        <w:rPr>
          <w:rFonts w:hint="eastAsia" w:ascii="宋体" w:hAnsi="宋体" w:eastAsia="宋体" w:cs="宋体"/>
          <w:color w:val="auto"/>
          <w:spacing w:val="-3"/>
          <w:sz w:val="28"/>
          <w:szCs w:val="28"/>
          <w:highlight w:val="none"/>
        </w:rPr>
        <w:t>数</w:t>
      </w:r>
      <w:r>
        <w:rPr>
          <w:rFonts w:hint="eastAsia" w:ascii="宋体" w:hAnsi="宋体" w:eastAsia="宋体" w:cs="宋体"/>
          <w:color w:val="auto"/>
          <w:sz w:val="28"/>
          <w:szCs w:val="28"/>
          <w:highlight w:val="none"/>
        </w:rPr>
        <w:t>不一致的</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以工</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总日</w:t>
      </w:r>
      <w:r>
        <w:rPr>
          <w:rFonts w:hint="eastAsia" w:ascii="宋体" w:hAnsi="宋体" w:eastAsia="宋体" w:cs="宋体"/>
          <w:color w:val="auto"/>
          <w:spacing w:val="-3"/>
          <w:sz w:val="28"/>
          <w:szCs w:val="28"/>
          <w:highlight w:val="none"/>
        </w:rPr>
        <w:t>历</w:t>
      </w:r>
      <w:r>
        <w:rPr>
          <w:rFonts w:hint="eastAsia" w:ascii="宋体" w:hAnsi="宋体" w:eastAsia="宋体" w:cs="宋体"/>
          <w:color w:val="auto"/>
          <w:sz w:val="28"/>
          <w:szCs w:val="28"/>
          <w:highlight w:val="none"/>
        </w:rPr>
        <w:t>天数</w:t>
      </w:r>
      <w:r>
        <w:rPr>
          <w:rFonts w:hint="eastAsia" w:ascii="宋体" w:hAnsi="宋体" w:eastAsia="宋体" w:cs="宋体"/>
          <w:color w:val="auto"/>
          <w:spacing w:val="-3"/>
          <w:sz w:val="28"/>
          <w:szCs w:val="28"/>
          <w:highlight w:val="none"/>
        </w:rPr>
        <w:t>为</w:t>
      </w:r>
      <w:r>
        <w:rPr>
          <w:rFonts w:hint="eastAsia" w:ascii="宋体" w:hAnsi="宋体" w:eastAsia="宋体" w:cs="宋体"/>
          <w:color w:val="auto"/>
          <w:sz w:val="28"/>
          <w:szCs w:val="28"/>
          <w:highlight w:val="none"/>
        </w:rPr>
        <w:t>准。</w:t>
      </w:r>
    </w:p>
    <w:p w14:paraId="1479C00D">
      <w:pPr>
        <w:keepNext w:val="0"/>
        <w:keepLines w:val="0"/>
        <w:pageBreakBefore w:val="0"/>
        <w:widowControl w:val="0"/>
        <w:kinsoku/>
        <w:wordWrap/>
        <w:overflowPunct/>
        <w:topLinePunct w:val="0"/>
        <w:bidi w:val="0"/>
        <w:snapToGrid/>
        <w:spacing w:line="600" w:lineRule="exact"/>
        <w:ind w:left="332" w:right="0"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三、质量标准</w:t>
      </w:r>
    </w:p>
    <w:p w14:paraId="20C33739">
      <w:pPr>
        <w:keepNext w:val="0"/>
        <w:keepLines w:val="0"/>
        <w:pageBreakBefore w:val="0"/>
        <w:widowControl w:val="0"/>
        <w:kinsoku/>
        <w:wordWrap/>
        <w:overflowPunct/>
        <w:topLinePunct w:val="0"/>
        <w:bidi w:val="0"/>
        <w:snapToGrid/>
        <w:spacing w:line="600" w:lineRule="exact"/>
        <w:ind w:left="0" w:right="0" w:firstLine="280" w:firstLineChars="1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工程质量符合</w:t>
      </w:r>
      <w:r>
        <w:rPr>
          <w:rFonts w:hint="eastAsia" w:ascii="宋体" w:hAnsi="宋体" w:eastAsia="宋体" w:cs="宋体"/>
          <w:color w:val="auto"/>
          <w:sz w:val="28"/>
          <w:szCs w:val="28"/>
          <w:highlight w:val="none"/>
          <w:u w:val="none"/>
        </w:rPr>
        <w:t>国家工程施工验收规范</w:t>
      </w:r>
      <w:r>
        <w:rPr>
          <w:rFonts w:hint="eastAsia" w:ascii="宋体" w:hAnsi="宋体" w:eastAsia="宋体" w:cs="宋体"/>
          <w:color w:val="auto"/>
          <w:sz w:val="28"/>
          <w:szCs w:val="28"/>
          <w:highlight w:val="none"/>
          <w:u w:val="single"/>
        </w:rPr>
        <w:t>合格</w:t>
      </w:r>
      <w:r>
        <w:rPr>
          <w:rFonts w:hint="eastAsia" w:ascii="宋体" w:hAnsi="宋体" w:eastAsia="宋体" w:cs="宋体"/>
          <w:color w:val="auto"/>
          <w:sz w:val="28"/>
          <w:szCs w:val="28"/>
          <w:highlight w:val="none"/>
        </w:rPr>
        <w:t>标准。</w:t>
      </w:r>
    </w:p>
    <w:p w14:paraId="7800D130">
      <w:pPr>
        <w:keepNext w:val="0"/>
        <w:keepLines w:val="0"/>
        <w:pageBreakBefore w:val="0"/>
        <w:widowControl w:val="0"/>
        <w:kinsoku/>
        <w:wordWrap/>
        <w:overflowPunct/>
        <w:topLinePunct w:val="0"/>
        <w:bidi w:val="0"/>
        <w:snapToGrid/>
        <w:spacing w:line="600" w:lineRule="exact"/>
        <w:ind w:left="332" w:right="5356"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四、签约合同价与合同价格形式</w:t>
      </w:r>
    </w:p>
    <w:p w14:paraId="68652BA2">
      <w:pPr>
        <w:pStyle w:val="196"/>
        <w:keepNext w:val="0"/>
        <w:keepLines w:val="0"/>
        <w:pageBreakBefore w:val="0"/>
        <w:widowControl w:val="0"/>
        <w:numPr>
          <w:ilvl w:val="0"/>
          <w:numId w:val="0"/>
        </w:numPr>
        <w:tabs>
          <w:tab w:val="left" w:pos="664"/>
          <w:tab w:val="left" w:pos="4789"/>
        </w:tabs>
        <w:kinsoku/>
        <w:wordWrap/>
        <w:overflowPunct/>
        <w:topLinePunct w:val="0"/>
        <w:bidi w:val="0"/>
        <w:snapToGrid/>
        <w:spacing w:line="60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lang w:val="en-US" w:eastAsia="zh-CN"/>
        </w:rPr>
        <w:t>1.</w:t>
      </w:r>
      <w:r>
        <w:rPr>
          <w:rFonts w:hint="eastAsia" w:ascii="宋体" w:hAnsi="宋体" w:eastAsia="宋体" w:cs="宋体"/>
          <w:color w:val="auto"/>
          <w:spacing w:val="-1"/>
          <w:sz w:val="28"/>
          <w:szCs w:val="28"/>
          <w:highlight w:val="none"/>
        </w:rPr>
        <w:t>签</w:t>
      </w:r>
      <w:r>
        <w:rPr>
          <w:rFonts w:hint="eastAsia" w:ascii="宋体" w:hAnsi="宋体" w:eastAsia="宋体" w:cs="宋体"/>
          <w:color w:val="auto"/>
          <w:spacing w:val="-3"/>
          <w:sz w:val="28"/>
          <w:szCs w:val="28"/>
          <w:highlight w:val="none"/>
        </w:rPr>
        <w:t>约</w:t>
      </w:r>
      <w:r>
        <w:rPr>
          <w:rFonts w:hint="eastAsia" w:ascii="宋体" w:hAnsi="宋体" w:eastAsia="宋体" w:cs="宋体"/>
          <w:color w:val="auto"/>
          <w:spacing w:val="-1"/>
          <w:sz w:val="28"/>
          <w:szCs w:val="28"/>
          <w:highlight w:val="none"/>
        </w:rPr>
        <w:t>合同</w:t>
      </w:r>
      <w:r>
        <w:rPr>
          <w:rFonts w:hint="eastAsia" w:ascii="宋体" w:hAnsi="宋体" w:eastAsia="宋体" w:cs="宋体"/>
          <w:color w:val="auto"/>
          <w:spacing w:val="-3"/>
          <w:sz w:val="28"/>
          <w:szCs w:val="28"/>
          <w:highlight w:val="none"/>
        </w:rPr>
        <w:t>价</w:t>
      </w:r>
      <w:r>
        <w:rPr>
          <w:rFonts w:hint="eastAsia" w:ascii="宋体" w:hAnsi="宋体" w:eastAsia="宋体" w:cs="宋体"/>
          <w:color w:val="auto"/>
          <w:spacing w:val="-1"/>
          <w:sz w:val="28"/>
          <w:szCs w:val="28"/>
          <w:highlight w:val="none"/>
        </w:rPr>
        <w:t>为：</w:t>
      </w:r>
      <w:r>
        <w:rPr>
          <w:rFonts w:hint="eastAsia" w:ascii="宋体" w:hAnsi="宋体" w:eastAsia="宋体" w:cs="宋体"/>
          <w:color w:val="auto"/>
          <w:spacing w:val="-1"/>
          <w:sz w:val="28"/>
          <w:szCs w:val="28"/>
          <w:highlight w:val="none"/>
          <w:u w:val="single"/>
          <w:lang w:val="en-US" w:eastAsia="zh-CN"/>
        </w:rPr>
        <w:t xml:space="preserve">       </w:t>
      </w:r>
      <w:r>
        <w:rPr>
          <w:rFonts w:hint="eastAsia" w:ascii="宋体" w:hAnsi="宋体" w:eastAsia="宋体" w:cs="宋体"/>
          <w:color w:val="auto"/>
          <w:spacing w:val="-3"/>
          <w:kern w:val="0"/>
          <w:sz w:val="28"/>
          <w:szCs w:val="28"/>
          <w:highlight w:val="none"/>
          <w:u w:val="single"/>
          <w:lang w:val="en-US" w:eastAsia="zh-CN" w:bidi="ar-SA"/>
        </w:rPr>
        <w:t>元</w:t>
      </w:r>
      <w:r>
        <w:rPr>
          <w:rFonts w:hint="eastAsia" w:ascii="宋体" w:hAnsi="宋体" w:eastAsia="宋体" w:cs="宋体"/>
          <w:color w:val="auto"/>
          <w:sz w:val="28"/>
          <w:szCs w:val="28"/>
          <w:highlight w:val="none"/>
          <w:u w:val="single"/>
          <w:lang w:val="zh-CN" w:eastAsia="zh-CN" w:bidi="zh-CN"/>
        </w:rPr>
        <w:t>（人民币）</w:t>
      </w:r>
    </w:p>
    <w:p w14:paraId="4509F543">
      <w:pPr>
        <w:pStyle w:val="19"/>
        <w:keepNext w:val="0"/>
        <w:keepLines w:val="0"/>
        <w:pageBreakBefore w:val="0"/>
        <w:widowControl w:val="0"/>
        <w:tabs>
          <w:tab w:val="left" w:pos="4952"/>
          <w:tab w:val="left" w:pos="6824"/>
        </w:tabs>
        <w:kinsoku/>
        <w:wordWrap/>
        <w:overflowPunct/>
        <w:topLinePunct w:val="0"/>
        <w:bidi w:val="0"/>
        <w:snapToGrid/>
        <w:spacing w:line="6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人</w:t>
      </w:r>
      <w:r>
        <w:rPr>
          <w:rFonts w:hint="eastAsia" w:ascii="宋体" w:hAnsi="宋体" w:eastAsia="宋体" w:cs="宋体"/>
          <w:color w:val="auto"/>
          <w:spacing w:val="-3"/>
          <w:sz w:val="28"/>
          <w:szCs w:val="28"/>
          <w:highlight w:val="none"/>
        </w:rPr>
        <w:t>民</w:t>
      </w:r>
      <w:r>
        <w:rPr>
          <w:rFonts w:hint="eastAsia" w:ascii="宋体" w:hAnsi="宋体" w:eastAsia="宋体" w:cs="宋体"/>
          <w:color w:val="auto"/>
          <w:sz w:val="28"/>
          <w:szCs w:val="28"/>
          <w:highlight w:val="none"/>
        </w:rPr>
        <w:t>币（</w:t>
      </w:r>
      <w:r>
        <w:rPr>
          <w:rFonts w:hint="eastAsia" w:ascii="宋体" w:hAnsi="宋体" w:eastAsia="宋体" w:cs="宋体"/>
          <w:color w:val="auto"/>
          <w:spacing w:val="-3"/>
          <w:sz w:val="28"/>
          <w:szCs w:val="28"/>
          <w:highlight w:val="none"/>
        </w:rPr>
        <w:t>大</w:t>
      </w:r>
      <w:r>
        <w:rPr>
          <w:rFonts w:hint="eastAsia" w:ascii="宋体" w:hAnsi="宋体" w:eastAsia="宋体" w:cs="宋体"/>
          <w:color w:val="auto"/>
          <w:sz w:val="28"/>
          <w:szCs w:val="28"/>
          <w:highlight w:val="none"/>
        </w:rPr>
        <w:t>写）</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zh-CN" w:eastAsia="zh-CN" w:bidi="zh-CN"/>
        </w:rPr>
        <w:t>元</w:t>
      </w:r>
      <w:r>
        <w:rPr>
          <w:rFonts w:hint="eastAsia" w:ascii="宋体" w:hAnsi="宋体" w:eastAsia="宋体" w:cs="宋体"/>
          <w:color w:val="auto"/>
          <w:sz w:val="28"/>
          <w:szCs w:val="28"/>
          <w:highlight w:val="none"/>
          <w:lang w:eastAsia="zh-CN"/>
        </w:rPr>
        <w:t>（含税金）</w:t>
      </w:r>
      <w:r>
        <w:rPr>
          <w:rFonts w:hint="eastAsia" w:ascii="宋体" w:hAnsi="宋体" w:eastAsia="宋体" w:cs="宋体"/>
          <w:color w:val="auto"/>
          <w:sz w:val="28"/>
          <w:szCs w:val="28"/>
          <w:highlight w:val="none"/>
        </w:rPr>
        <w:t>）；</w:t>
      </w:r>
    </w:p>
    <w:p w14:paraId="00CDBC46">
      <w:pPr>
        <w:pStyle w:val="196"/>
        <w:keepNext w:val="0"/>
        <w:keepLines w:val="0"/>
        <w:pageBreakBefore w:val="0"/>
        <w:widowControl w:val="0"/>
        <w:numPr>
          <w:ilvl w:val="0"/>
          <w:numId w:val="0"/>
        </w:numPr>
        <w:tabs>
          <w:tab w:val="left" w:pos="664"/>
          <w:tab w:val="left" w:pos="4734"/>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价格</w:t>
      </w:r>
      <w:r>
        <w:rPr>
          <w:rFonts w:hint="eastAsia" w:ascii="宋体" w:hAnsi="宋体" w:eastAsia="宋体" w:cs="宋体"/>
          <w:color w:val="auto"/>
          <w:spacing w:val="-3"/>
          <w:sz w:val="28"/>
          <w:szCs w:val="28"/>
          <w:highlight w:val="none"/>
        </w:rPr>
        <w:t>形</w:t>
      </w:r>
      <w:r>
        <w:rPr>
          <w:rFonts w:hint="eastAsia" w:ascii="宋体" w:hAnsi="宋体" w:eastAsia="宋体" w:cs="宋体"/>
          <w:color w:val="auto"/>
          <w:sz w:val="28"/>
          <w:szCs w:val="28"/>
          <w:highlight w:val="none"/>
        </w:rPr>
        <w:t>式：</w:t>
      </w:r>
      <w:r>
        <w:rPr>
          <w:rFonts w:hint="eastAsia" w:ascii="宋体" w:hAnsi="宋体" w:eastAsia="宋体" w:cs="宋体"/>
          <w:color w:val="auto"/>
          <w:sz w:val="28"/>
          <w:szCs w:val="28"/>
          <w:highlight w:val="none"/>
          <w:u w:val="single"/>
        </w:rPr>
        <w:t xml:space="preserve"> 单价合同</w:t>
      </w:r>
      <w:r>
        <w:rPr>
          <w:rFonts w:hint="eastAsia" w:ascii="宋体" w:hAnsi="宋体" w:eastAsia="宋体" w:cs="宋体"/>
          <w:color w:val="auto"/>
          <w:sz w:val="28"/>
          <w:szCs w:val="28"/>
          <w:highlight w:val="none"/>
        </w:rPr>
        <w:t>。</w:t>
      </w:r>
    </w:p>
    <w:p w14:paraId="727E83CF">
      <w:pPr>
        <w:keepNext w:val="0"/>
        <w:keepLines w:val="0"/>
        <w:pageBreakBefore w:val="0"/>
        <w:widowControl w:val="0"/>
        <w:kinsoku/>
        <w:wordWrap/>
        <w:overflowPunct/>
        <w:topLinePunct w:val="0"/>
        <w:bidi w:val="0"/>
        <w:adjustRightInd/>
        <w:snapToGrid/>
        <w:spacing w:line="560" w:lineRule="exact"/>
        <w:ind w:left="332" w:right="0"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五、项目经理</w:t>
      </w:r>
    </w:p>
    <w:p w14:paraId="6AEFF023">
      <w:pPr>
        <w:keepNext w:val="0"/>
        <w:keepLines w:val="0"/>
        <w:pageBreakBefore w:val="0"/>
        <w:widowControl w:val="0"/>
        <w:tabs>
          <w:tab w:val="left" w:pos="5504"/>
        </w:tabs>
        <w:kinsoku/>
        <w:wordWrap/>
        <w:overflowPunct/>
        <w:topLinePunct w:val="0"/>
        <w:bidi w:val="0"/>
        <w:adjustRightInd/>
        <w:snapToGrid/>
        <w:spacing w:line="560" w:lineRule="exact"/>
        <w:ind w:left="332" w:right="4583" w:firstLine="0"/>
        <w:jc w:val="left"/>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人项</w:t>
      </w:r>
      <w:r>
        <w:rPr>
          <w:rFonts w:hint="eastAsia" w:ascii="宋体" w:hAnsi="宋体" w:eastAsia="宋体" w:cs="宋体"/>
          <w:color w:val="auto"/>
          <w:spacing w:val="-3"/>
          <w:sz w:val="28"/>
          <w:szCs w:val="28"/>
          <w:highlight w:val="none"/>
        </w:rPr>
        <w:t>目</w:t>
      </w:r>
      <w:r>
        <w:rPr>
          <w:rFonts w:hint="eastAsia" w:ascii="宋体" w:hAnsi="宋体" w:eastAsia="宋体" w:cs="宋体"/>
          <w:color w:val="auto"/>
          <w:sz w:val="28"/>
          <w:szCs w:val="28"/>
          <w:highlight w:val="none"/>
        </w:rPr>
        <w:t>经理：</w:t>
      </w:r>
      <w:r>
        <w:rPr>
          <w:rFonts w:hint="eastAsia" w:ascii="宋体" w:hAnsi="宋体" w:eastAsia="宋体" w:cs="宋体"/>
          <w:color w:val="auto"/>
          <w:sz w:val="28"/>
          <w:szCs w:val="28"/>
          <w:highlight w:val="none"/>
          <w:u w:val="single"/>
          <w:lang w:val="en-US" w:eastAsia="zh-CN"/>
        </w:rPr>
        <w:t xml:space="preserve">            </w:t>
      </w:r>
    </w:p>
    <w:p w14:paraId="6A7BB588">
      <w:pPr>
        <w:keepNext w:val="0"/>
        <w:keepLines w:val="0"/>
        <w:pageBreakBefore w:val="0"/>
        <w:widowControl w:val="0"/>
        <w:tabs>
          <w:tab w:val="left" w:pos="5504"/>
        </w:tabs>
        <w:kinsoku/>
        <w:wordWrap/>
        <w:overflowPunct/>
        <w:topLinePunct w:val="0"/>
        <w:bidi w:val="0"/>
        <w:adjustRightInd/>
        <w:snapToGrid/>
        <w:spacing w:line="560" w:lineRule="exact"/>
        <w:ind w:left="332" w:right="4583"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六、合同文件构成</w:t>
      </w:r>
    </w:p>
    <w:p w14:paraId="3A18D96B">
      <w:pPr>
        <w:pStyle w:val="19"/>
        <w:keepNext w:val="0"/>
        <w:keepLines w:val="0"/>
        <w:pageBreakBefore w:val="0"/>
        <w:widowControl w:val="0"/>
        <w:kinsoku/>
        <w:wordWrap/>
        <w:overflowPunct/>
        <w:topLinePunct w:val="0"/>
        <w:bidi w:val="0"/>
        <w:adjustRightInd/>
        <w:snapToGrid/>
        <w:spacing w:line="56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本协议书与下列文件一起构成合同文件：</w:t>
      </w:r>
    </w:p>
    <w:p w14:paraId="1B9EBE6E">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成交通知书</w:t>
      </w:r>
      <w:r>
        <w:rPr>
          <w:rFonts w:hint="eastAsia" w:ascii="宋体" w:hAnsi="宋体" w:eastAsia="宋体" w:cs="宋体"/>
          <w:color w:val="auto"/>
          <w:sz w:val="28"/>
          <w:szCs w:val="28"/>
          <w:highlight w:val="none"/>
        </w:rPr>
        <w:t>（</w:t>
      </w:r>
      <w:r>
        <w:rPr>
          <w:rFonts w:hint="eastAsia" w:ascii="宋体" w:hAnsi="宋体" w:eastAsia="宋体" w:cs="宋体"/>
          <w:color w:val="auto"/>
          <w:spacing w:val="-2"/>
          <w:sz w:val="28"/>
          <w:szCs w:val="28"/>
          <w:highlight w:val="none"/>
        </w:rPr>
        <w:t>如有</w:t>
      </w:r>
      <w:r>
        <w:rPr>
          <w:rFonts w:hint="eastAsia" w:ascii="宋体" w:hAnsi="宋体" w:eastAsia="宋体" w:cs="宋体"/>
          <w:color w:val="auto"/>
          <w:sz w:val="28"/>
          <w:szCs w:val="28"/>
          <w:highlight w:val="none"/>
        </w:rPr>
        <w:t>）；</w:t>
      </w:r>
    </w:p>
    <w:p w14:paraId="160E0044">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投标函及其附录</w:t>
      </w:r>
      <w:r>
        <w:rPr>
          <w:rFonts w:hint="eastAsia" w:ascii="宋体" w:hAnsi="宋体" w:eastAsia="宋体" w:cs="宋体"/>
          <w:color w:val="auto"/>
          <w:sz w:val="28"/>
          <w:szCs w:val="28"/>
          <w:highlight w:val="none"/>
        </w:rPr>
        <w:t>（</w:t>
      </w:r>
      <w:r>
        <w:rPr>
          <w:rFonts w:hint="eastAsia" w:ascii="宋体" w:hAnsi="宋体" w:eastAsia="宋体" w:cs="宋体"/>
          <w:color w:val="auto"/>
          <w:spacing w:val="-2"/>
          <w:sz w:val="28"/>
          <w:szCs w:val="28"/>
          <w:highlight w:val="none"/>
        </w:rPr>
        <w:t>如有</w:t>
      </w:r>
      <w:r>
        <w:rPr>
          <w:rFonts w:hint="eastAsia" w:ascii="宋体" w:hAnsi="宋体" w:eastAsia="宋体" w:cs="宋体"/>
          <w:color w:val="auto"/>
          <w:sz w:val="28"/>
          <w:szCs w:val="28"/>
          <w:highlight w:val="none"/>
        </w:rPr>
        <w:t>）；</w:t>
      </w:r>
    </w:p>
    <w:p w14:paraId="5715AEFC">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专用合同条款及其附件；</w:t>
      </w:r>
    </w:p>
    <w:p w14:paraId="64103FCA">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(4)</w:t>
      </w:r>
      <w:r>
        <w:rPr>
          <w:rFonts w:hint="eastAsia" w:ascii="宋体" w:hAnsi="宋体" w:eastAsia="宋体" w:cs="宋体"/>
          <w:color w:val="auto"/>
          <w:spacing w:val="-3"/>
          <w:sz w:val="28"/>
          <w:szCs w:val="28"/>
          <w:highlight w:val="none"/>
        </w:rPr>
        <w:t>通用合同条款；</w:t>
      </w:r>
    </w:p>
    <w:p w14:paraId="3DE584DE">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(5)</w:t>
      </w:r>
      <w:r>
        <w:rPr>
          <w:rFonts w:hint="eastAsia" w:ascii="宋体" w:hAnsi="宋体" w:eastAsia="宋体" w:cs="宋体"/>
          <w:color w:val="auto"/>
          <w:spacing w:val="-3"/>
          <w:sz w:val="28"/>
          <w:szCs w:val="28"/>
          <w:highlight w:val="none"/>
        </w:rPr>
        <w:t>技术标准和要求；</w:t>
      </w:r>
    </w:p>
    <w:p w14:paraId="470C2986">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(6)</w:t>
      </w:r>
      <w:r>
        <w:rPr>
          <w:rFonts w:hint="eastAsia" w:ascii="宋体" w:hAnsi="宋体" w:eastAsia="宋体" w:cs="宋体"/>
          <w:color w:val="auto"/>
          <w:spacing w:val="-3"/>
          <w:sz w:val="28"/>
          <w:szCs w:val="28"/>
          <w:highlight w:val="none"/>
        </w:rPr>
        <w:t>已标价工程量清单或预算书；</w:t>
      </w:r>
    </w:p>
    <w:p w14:paraId="075FD074">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(7)</w:t>
      </w:r>
      <w:r>
        <w:rPr>
          <w:rFonts w:hint="eastAsia" w:ascii="宋体" w:hAnsi="宋体" w:eastAsia="宋体" w:cs="宋体"/>
          <w:color w:val="auto"/>
          <w:spacing w:val="-2"/>
          <w:sz w:val="28"/>
          <w:szCs w:val="28"/>
          <w:highlight w:val="none"/>
        </w:rPr>
        <w:t>图纸；</w:t>
      </w:r>
    </w:p>
    <w:p w14:paraId="180BF6A1">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(8)</w:t>
      </w:r>
      <w:r>
        <w:rPr>
          <w:rFonts w:hint="eastAsia" w:ascii="宋体" w:hAnsi="宋体" w:eastAsia="宋体" w:cs="宋体"/>
          <w:color w:val="auto"/>
          <w:spacing w:val="-3"/>
          <w:sz w:val="28"/>
          <w:szCs w:val="28"/>
          <w:highlight w:val="none"/>
        </w:rPr>
        <w:t>其他合同文件</w:t>
      </w:r>
      <w:r>
        <w:rPr>
          <w:rFonts w:hint="eastAsia" w:ascii="宋体" w:hAnsi="宋体" w:eastAsia="宋体" w:cs="宋体"/>
          <w:color w:val="auto"/>
          <w:spacing w:val="-3"/>
          <w:sz w:val="28"/>
          <w:szCs w:val="28"/>
          <w:highlight w:val="none"/>
          <w:lang w:eastAsia="zh-CN"/>
        </w:rPr>
        <w:t>；</w:t>
      </w:r>
    </w:p>
    <w:p w14:paraId="7C82CDFD">
      <w:pPr>
        <w:pStyle w:val="196"/>
        <w:keepNext w:val="0"/>
        <w:keepLines w:val="0"/>
        <w:pageBreakBefore w:val="0"/>
        <w:widowControl w:val="0"/>
        <w:numPr>
          <w:ilvl w:val="0"/>
          <w:numId w:val="0"/>
        </w:numPr>
        <w:tabs>
          <w:tab w:val="left" w:pos="886"/>
        </w:tabs>
        <w:kinsoku/>
        <w:wordWrap/>
        <w:overflowPunct/>
        <w:topLinePunct w:val="0"/>
        <w:bidi w:val="0"/>
        <w:adjustRightInd/>
        <w:snapToGrid/>
        <w:spacing w:line="560" w:lineRule="exact"/>
        <w:ind w:leftChars="200" w:right="0" w:rightChars="0"/>
        <w:jc w:val="lef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(9)</w:t>
      </w:r>
      <w:r>
        <w:rPr>
          <w:rFonts w:hint="eastAsia" w:ascii="宋体" w:hAnsi="宋体" w:eastAsia="宋体" w:cs="宋体"/>
          <w:color w:val="000000"/>
          <w:sz w:val="28"/>
          <w:szCs w:val="28"/>
          <w:highlight w:val="none"/>
        </w:rPr>
        <w:t>农民工工资保障金缴纳证明</w:t>
      </w:r>
      <w:r>
        <w:rPr>
          <w:rFonts w:hint="eastAsia" w:ascii="宋体" w:hAnsi="宋体" w:eastAsia="宋体" w:cs="宋体"/>
          <w:color w:val="000000"/>
          <w:sz w:val="28"/>
          <w:szCs w:val="28"/>
          <w:highlight w:val="none"/>
          <w:lang w:eastAsia="zh-CN"/>
        </w:rPr>
        <w:t>。</w:t>
      </w:r>
    </w:p>
    <w:p w14:paraId="57D94553">
      <w:pPr>
        <w:pStyle w:val="19"/>
        <w:keepNext w:val="0"/>
        <w:keepLines w:val="0"/>
        <w:pageBreakBefore w:val="0"/>
        <w:widowControl w:val="0"/>
        <w:kinsoku/>
        <w:wordWrap/>
        <w:overflowPunct/>
        <w:topLinePunct w:val="0"/>
        <w:bidi w:val="0"/>
        <w:adjustRightInd/>
        <w:snapToGrid/>
        <w:spacing w:line="560" w:lineRule="exact"/>
        <w:ind w:left="332"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在合同订立及履行过程中形成的与合同有关的文件均构成合同文件组成部分。</w:t>
      </w:r>
    </w:p>
    <w:p w14:paraId="63F327FA">
      <w:pPr>
        <w:pStyle w:val="19"/>
        <w:keepNext w:val="0"/>
        <w:keepLines w:val="0"/>
        <w:pageBreakBefore w:val="0"/>
        <w:widowControl w:val="0"/>
        <w:kinsoku/>
        <w:wordWrap/>
        <w:overflowPunct/>
        <w:topLinePunct w:val="0"/>
        <w:bidi w:val="0"/>
        <w:adjustRightInd/>
        <w:snapToGrid/>
        <w:spacing w:line="560" w:lineRule="exact"/>
        <w:ind w:left="332" w:right="330"/>
        <w:textAlignment w:val="auto"/>
        <w:rPr>
          <w:rFonts w:hint="eastAsia" w:ascii="宋体" w:hAnsi="宋体" w:eastAsia="宋体" w:cs="宋体"/>
          <w:lang w:val="en-US" w:eastAsia="zh-CN"/>
        </w:rPr>
      </w:pPr>
      <w:r>
        <w:rPr>
          <w:rFonts w:hint="eastAsia" w:ascii="宋体" w:hAnsi="宋体" w:eastAsia="宋体" w:cs="宋体"/>
          <w:color w:val="auto"/>
          <w:spacing w:val="-5"/>
          <w:sz w:val="28"/>
          <w:szCs w:val="28"/>
          <w:highlight w:val="none"/>
        </w:rPr>
        <w:t>上述各项合同文件包括合同当事人就该项合同文件所作出的补充和修改，属于同一类内容的文件，应</w:t>
      </w:r>
      <w:r>
        <w:rPr>
          <w:rFonts w:hint="eastAsia" w:ascii="宋体" w:hAnsi="宋体" w:eastAsia="宋体" w:cs="宋体"/>
          <w:color w:val="auto"/>
          <w:spacing w:val="-3"/>
          <w:sz w:val="28"/>
          <w:szCs w:val="28"/>
          <w:highlight w:val="none"/>
        </w:rPr>
        <w:t>以最新签署的为准。专用合同条款及其附件须经合同当事人签字或盖章。</w:t>
      </w:r>
    </w:p>
    <w:p w14:paraId="7CBB97CB">
      <w:pPr>
        <w:keepNext w:val="0"/>
        <w:keepLines w:val="0"/>
        <w:pageBreakBefore w:val="0"/>
        <w:widowControl w:val="0"/>
        <w:numPr>
          <w:ilvl w:val="0"/>
          <w:numId w:val="4"/>
        </w:numPr>
        <w:kinsoku/>
        <w:wordWrap/>
        <w:overflowPunct/>
        <w:topLinePunct w:val="0"/>
        <w:bidi w:val="0"/>
        <w:adjustRightInd/>
        <w:snapToGrid/>
        <w:spacing w:line="560" w:lineRule="exact"/>
        <w:ind w:left="332" w:right="0"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承诺</w:t>
      </w:r>
    </w:p>
    <w:p w14:paraId="6B8E6D57">
      <w:pPr>
        <w:pStyle w:val="196"/>
        <w:keepNext w:val="0"/>
        <w:keepLines w:val="0"/>
        <w:pageBreakBefore w:val="0"/>
        <w:widowControl w:val="0"/>
        <w:numPr>
          <w:ilvl w:val="0"/>
          <w:numId w:val="5"/>
        </w:numPr>
        <w:tabs>
          <w:tab w:val="left" w:pos="664"/>
        </w:tabs>
        <w:kinsoku/>
        <w:wordWrap/>
        <w:overflowPunct/>
        <w:topLinePunct w:val="0"/>
        <w:bidi w:val="0"/>
        <w:adjustRightInd/>
        <w:snapToGrid/>
        <w:spacing w:line="560" w:lineRule="exact"/>
        <w:ind w:left="332" w:right="405"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发包人承诺按照法律规定履行项目审批手续、筹集工程建设资金并按照合同约定的期限和方式支付合同价款。</w:t>
      </w:r>
    </w:p>
    <w:p w14:paraId="6BDBF0D4">
      <w:pPr>
        <w:pStyle w:val="196"/>
        <w:keepNext w:val="0"/>
        <w:keepLines w:val="0"/>
        <w:pageBreakBefore w:val="0"/>
        <w:widowControl w:val="0"/>
        <w:numPr>
          <w:ilvl w:val="0"/>
          <w:numId w:val="5"/>
        </w:numPr>
        <w:tabs>
          <w:tab w:val="left" w:pos="664"/>
        </w:tabs>
        <w:kinsoku/>
        <w:wordWrap/>
        <w:overflowPunct/>
        <w:topLinePunct w:val="0"/>
        <w:bidi w:val="0"/>
        <w:adjustRightInd/>
        <w:snapToGrid/>
        <w:spacing w:line="560" w:lineRule="exact"/>
        <w:ind w:left="332" w:right="405" w:firstLine="0"/>
        <w:jc w:val="left"/>
        <w:textAlignment w:val="auto"/>
        <w:rPr>
          <w:rFonts w:hint="eastAsia" w:ascii="宋体" w:hAnsi="宋体" w:eastAsia="宋体" w:cs="宋体"/>
          <w:lang w:val="en-US" w:eastAsia="zh-CN"/>
        </w:rPr>
      </w:pPr>
      <w:r>
        <w:rPr>
          <w:rFonts w:hint="eastAsia" w:ascii="宋体" w:hAnsi="宋体" w:eastAsia="宋体" w:cs="宋体"/>
          <w:color w:val="auto"/>
          <w:spacing w:val="-3"/>
          <w:sz w:val="28"/>
          <w:szCs w:val="28"/>
          <w:highlight w:val="none"/>
        </w:rPr>
        <w:t>承包人承诺按照法律规定及合同约定组织完成工程施工，确保工程质量和安全，不进行转包及违法分包，并在缺陷责任期及保修期内承担相应的工程维修责任。</w:t>
      </w:r>
    </w:p>
    <w:p w14:paraId="39EF594B">
      <w:pPr>
        <w:pStyle w:val="196"/>
        <w:keepNext w:val="0"/>
        <w:keepLines w:val="0"/>
        <w:pageBreakBefore w:val="0"/>
        <w:widowControl w:val="0"/>
        <w:numPr>
          <w:ilvl w:val="0"/>
          <w:numId w:val="5"/>
        </w:numPr>
        <w:tabs>
          <w:tab w:val="left" w:pos="664"/>
        </w:tabs>
        <w:kinsoku/>
        <w:wordWrap/>
        <w:overflowPunct/>
        <w:topLinePunct w:val="0"/>
        <w:bidi w:val="0"/>
        <w:adjustRightInd/>
        <w:snapToGrid/>
        <w:spacing w:line="560" w:lineRule="exact"/>
        <w:ind w:left="332" w:right="405"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发包人和承包人通过招投标形式签订合同的，双方理解并承诺不再就同一工程另行签订与合同实质性内容相背离的协议。</w:t>
      </w:r>
    </w:p>
    <w:p w14:paraId="74D51B2E">
      <w:pPr>
        <w:keepNext w:val="0"/>
        <w:keepLines w:val="0"/>
        <w:pageBreakBefore w:val="0"/>
        <w:widowControl w:val="0"/>
        <w:kinsoku/>
        <w:wordWrap/>
        <w:overflowPunct/>
        <w:topLinePunct w:val="0"/>
        <w:bidi w:val="0"/>
        <w:adjustRightInd/>
        <w:snapToGrid/>
        <w:spacing w:line="560" w:lineRule="exact"/>
        <w:ind w:left="332" w:right="0"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pacing w:val="-1"/>
          <w:sz w:val="28"/>
          <w:szCs w:val="28"/>
          <w:highlight w:val="none"/>
        </w:rPr>
        <w:t>八、词语含义</w:t>
      </w:r>
    </w:p>
    <w:p w14:paraId="5BF4BDB5">
      <w:pPr>
        <w:pStyle w:val="19"/>
        <w:keepNext w:val="0"/>
        <w:keepLines w:val="0"/>
        <w:pageBreakBefore w:val="0"/>
        <w:widowControl w:val="0"/>
        <w:kinsoku/>
        <w:wordWrap/>
        <w:overflowPunct/>
        <w:topLinePunct w:val="0"/>
        <w:bidi w:val="0"/>
        <w:adjustRightInd/>
        <w:snapToGrid/>
        <w:spacing w:line="560" w:lineRule="exact"/>
        <w:ind w:left="332" w:right="3594"/>
        <w:textAlignment w:val="auto"/>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本协议书中词语含义与第二部分通用合同条款中赋予的含义相同。</w:t>
      </w:r>
    </w:p>
    <w:p w14:paraId="15720973">
      <w:pPr>
        <w:pStyle w:val="19"/>
        <w:keepNext w:val="0"/>
        <w:keepLines w:val="0"/>
        <w:pageBreakBefore w:val="0"/>
        <w:widowControl w:val="0"/>
        <w:kinsoku/>
        <w:wordWrap/>
        <w:overflowPunct/>
        <w:topLinePunct w:val="0"/>
        <w:bidi w:val="0"/>
        <w:adjustRightInd/>
        <w:snapToGrid/>
        <w:spacing w:line="560" w:lineRule="exact"/>
        <w:ind w:left="332" w:right="3594"/>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pacing w:val="-3"/>
          <w:sz w:val="28"/>
          <w:szCs w:val="28"/>
          <w:highlight w:val="none"/>
        </w:rPr>
        <w:t>九、签订时间</w:t>
      </w:r>
    </w:p>
    <w:p w14:paraId="452AFABB">
      <w:pPr>
        <w:keepNext w:val="0"/>
        <w:keepLines w:val="0"/>
        <w:pageBreakBefore w:val="0"/>
        <w:widowControl w:val="0"/>
        <w:kinsoku/>
        <w:wordWrap/>
        <w:overflowPunct/>
        <w:topLinePunct w:val="0"/>
        <w:bidi w:val="0"/>
        <w:adjustRightInd/>
        <w:snapToGrid/>
        <w:spacing w:line="560" w:lineRule="exact"/>
        <w:ind w:left="0" w:right="0" w:rightChars="0" w:firstLine="272" w:firstLineChars="100"/>
        <w:jc w:val="left"/>
        <w:textAlignment w:val="auto"/>
        <w:rPr>
          <w:rFonts w:hint="eastAsia" w:ascii="宋体" w:hAnsi="宋体" w:eastAsia="宋体" w:cs="宋体"/>
        </w:rPr>
      </w:pPr>
      <w:r>
        <w:rPr>
          <w:rFonts w:hint="eastAsia" w:ascii="宋体" w:hAnsi="宋体" w:eastAsia="宋体" w:cs="宋体"/>
          <w:color w:val="auto"/>
          <w:spacing w:val="-4"/>
          <w:sz w:val="28"/>
          <w:szCs w:val="28"/>
          <w:highlight w:val="none"/>
        </w:rPr>
        <w:t>本合同于</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lang w:val="en-US" w:eastAsia="zh-CN"/>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rPr>
        <w:t>日签订。</w:t>
      </w:r>
    </w:p>
    <w:p w14:paraId="095C8097">
      <w:pPr>
        <w:keepNext w:val="0"/>
        <w:keepLines w:val="0"/>
        <w:pageBreakBefore w:val="0"/>
        <w:widowControl w:val="0"/>
        <w:numPr>
          <w:ilvl w:val="0"/>
          <w:numId w:val="6"/>
        </w:numPr>
        <w:kinsoku/>
        <w:wordWrap/>
        <w:overflowPunct/>
        <w:topLinePunct w:val="0"/>
        <w:bidi w:val="0"/>
        <w:adjustRightInd/>
        <w:snapToGrid/>
        <w:spacing w:line="560" w:lineRule="exact"/>
        <w:ind w:left="0" w:right="0" w:rightChars="0" w:firstLine="281" w:firstLineChars="100"/>
        <w:jc w:val="left"/>
        <w:textAlignment w:val="auto"/>
        <w:rPr>
          <w:rFonts w:hint="eastAsia" w:ascii="宋体" w:hAnsi="宋体" w:eastAsia="宋体" w:cs="宋体"/>
        </w:rPr>
      </w:pPr>
      <w:r>
        <w:rPr>
          <w:rFonts w:hint="eastAsia" w:ascii="宋体" w:hAnsi="宋体" w:eastAsia="宋体" w:cs="宋体"/>
          <w:b/>
          <w:color w:val="auto"/>
          <w:sz w:val="28"/>
          <w:szCs w:val="28"/>
          <w:highlight w:val="none"/>
        </w:rPr>
        <w:t>签订地点</w:t>
      </w:r>
    </w:p>
    <w:p w14:paraId="0DE41279">
      <w:pPr>
        <w:keepNext w:val="0"/>
        <w:keepLines w:val="0"/>
        <w:pageBreakBefore w:val="0"/>
        <w:widowControl w:val="0"/>
        <w:kinsoku/>
        <w:wordWrap/>
        <w:overflowPunct/>
        <w:topLinePunct w:val="0"/>
        <w:autoSpaceDE w:val="0"/>
        <w:autoSpaceDN w:val="0"/>
        <w:bidi w:val="0"/>
        <w:adjustRightInd/>
        <w:snapToGrid/>
        <w:spacing w:line="560" w:lineRule="exact"/>
        <w:ind w:left="0" w:right="0" w:rightChars="0" w:firstLine="274" w:firstLineChars="100"/>
        <w:jc w:val="both"/>
        <w:textAlignment w:val="auto"/>
        <w:rPr>
          <w:rFonts w:hint="eastAsia" w:ascii="宋体" w:hAnsi="宋体" w:eastAsia="宋体" w:cs="宋体"/>
          <w:lang w:val="zh-CN" w:eastAsia="zh-CN"/>
        </w:rPr>
      </w:pPr>
      <w:r>
        <w:rPr>
          <w:rFonts w:hint="eastAsia" w:ascii="宋体" w:hAnsi="宋体" w:eastAsia="宋体" w:cs="宋体"/>
          <w:color w:val="auto"/>
          <w:spacing w:val="-3"/>
          <w:sz w:val="28"/>
          <w:szCs w:val="28"/>
          <w:highlight w:val="none"/>
          <w:lang w:val="zh-CN" w:eastAsia="zh-CN" w:bidi="zh-CN"/>
        </w:rPr>
        <w:t>本合同在</w:t>
      </w:r>
      <w:r>
        <w:rPr>
          <w:rFonts w:hint="eastAsia" w:ascii="宋体" w:hAnsi="宋体" w:eastAsia="宋体" w:cs="宋体"/>
          <w:color w:val="auto"/>
          <w:spacing w:val="-3"/>
          <w:sz w:val="28"/>
          <w:szCs w:val="28"/>
          <w:highlight w:val="none"/>
          <w:u w:val="single"/>
          <w:lang w:val="en-US" w:eastAsia="zh-CN" w:bidi="zh-CN"/>
        </w:rPr>
        <w:t xml:space="preserve">       崇左市江州区       </w:t>
      </w:r>
      <w:r>
        <w:rPr>
          <w:rFonts w:hint="eastAsia" w:ascii="宋体" w:hAnsi="宋体" w:eastAsia="宋体" w:cs="宋体"/>
          <w:color w:val="auto"/>
          <w:spacing w:val="-3"/>
          <w:sz w:val="28"/>
          <w:szCs w:val="28"/>
          <w:highlight w:val="none"/>
          <w:lang w:val="zh-CN" w:eastAsia="zh-CN" w:bidi="zh-CN"/>
        </w:rPr>
        <w:t>签</w:t>
      </w:r>
      <w:r>
        <w:rPr>
          <w:rFonts w:hint="eastAsia" w:ascii="宋体" w:hAnsi="宋体" w:eastAsia="宋体" w:cs="宋体"/>
          <w:color w:val="auto"/>
          <w:spacing w:val="-3"/>
          <w:sz w:val="28"/>
          <w:szCs w:val="28"/>
          <w:highlight w:val="none"/>
          <w:lang w:val="en-US" w:eastAsia="zh-CN" w:bidi="zh-CN"/>
        </w:rPr>
        <w:t>订。</w:t>
      </w:r>
    </w:p>
    <w:p w14:paraId="7D570CD4">
      <w:pPr>
        <w:keepNext w:val="0"/>
        <w:keepLines w:val="0"/>
        <w:pageBreakBefore w:val="0"/>
        <w:widowControl w:val="0"/>
        <w:kinsoku/>
        <w:wordWrap/>
        <w:overflowPunct/>
        <w:topLinePunct w:val="0"/>
        <w:bidi w:val="0"/>
        <w:adjustRightInd/>
        <w:snapToGrid/>
        <w:spacing w:line="560" w:lineRule="exact"/>
        <w:ind w:left="332" w:right="5464"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pacing w:val="-2"/>
          <w:sz w:val="28"/>
          <w:szCs w:val="28"/>
          <w:highlight w:val="none"/>
        </w:rPr>
        <w:t>十一、补充协议</w:t>
      </w:r>
    </w:p>
    <w:p w14:paraId="034827CB">
      <w:pPr>
        <w:pStyle w:val="19"/>
        <w:keepNext w:val="0"/>
        <w:keepLines w:val="0"/>
        <w:pageBreakBefore w:val="0"/>
        <w:widowControl w:val="0"/>
        <w:kinsoku/>
        <w:wordWrap/>
        <w:overflowPunct/>
        <w:topLinePunct w:val="0"/>
        <w:bidi w:val="0"/>
        <w:adjustRightInd/>
        <w:snapToGrid/>
        <w:spacing w:line="560" w:lineRule="exact"/>
        <w:ind w:left="332" w:right="526" w:rightChars="0"/>
        <w:textAlignment w:val="auto"/>
        <w:rPr>
          <w:rFonts w:hint="eastAsia" w:ascii="宋体" w:hAnsi="宋体" w:eastAsia="宋体" w:cs="宋体"/>
          <w:color w:val="auto"/>
          <w:spacing w:val="-3"/>
          <w:sz w:val="28"/>
          <w:szCs w:val="28"/>
          <w:highlight w:val="none"/>
        </w:rPr>
      </w:pPr>
      <w:r>
        <w:rPr>
          <w:rFonts w:hint="eastAsia" w:ascii="宋体" w:hAnsi="宋体" w:eastAsia="宋体" w:cs="宋体"/>
          <w:color w:val="auto"/>
          <w:spacing w:val="-3"/>
          <w:sz w:val="28"/>
          <w:szCs w:val="28"/>
          <w:highlight w:val="none"/>
        </w:rPr>
        <w:t>合同未尽事宜，合同当事人另行签订补充协议，补充协议是合同的组成部分。</w:t>
      </w:r>
    </w:p>
    <w:p w14:paraId="77B2BBAB">
      <w:pPr>
        <w:pStyle w:val="19"/>
        <w:keepNext w:val="0"/>
        <w:keepLines w:val="0"/>
        <w:pageBreakBefore w:val="0"/>
        <w:widowControl w:val="0"/>
        <w:kinsoku/>
        <w:wordWrap/>
        <w:overflowPunct/>
        <w:topLinePunct w:val="0"/>
        <w:bidi w:val="0"/>
        <w:adjustRightInd/>
        <w:snapToGrid/>
        <w:spacing w:line="560" w:lineRule="exact"/>
        <w:ind w:left="332" w:right="2495"/>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pacing w:val="-3"/>
          <w:sz w:val="28"/>
          <w:szCs w:val="28"/>
          <w:highlight w:val="none"/>
        </w:rPr>
        <w:t>十二、合同生效</w:t>
      </w:r>
    </w:p>
    <w:p w14:paraId="31BEA0B7">
      <w:pPr>
        <w:keepNext w:val="0"/>
        <w:keepLines w:val="0"/>
        <w:pageBreakBefore w:val="0"/>
        <w:widowControl w:val="0"/>
        <w:kinsoku/>
        <w:wordWrap/>
        <w:overflowPunct/>
        <w:topLinePunct w:val="0"/>
        <w:bidi w:val="0"/>
        <w:adjustRightInd/>
        <w:snapToGrid/>
        <w:spacing w:line="560" w:lineRule="exact"/>
        <w:ind w:left="332" w:right="2426" w:rightChars="0" w:firstLine="0"/>
        <w:jc w:val="left"/>
        <w:textAlignment w:val="auto"/>
        <w:rPr>
          <w:rFonts w:hint="eastAsia" w:ascii="宋体" w:hAnsi="宋体" w:eastAsia="宋体" w:cs="宋体"/>
          <w:color w:val="auto"/>
          <w:spacing w:val="-2"/>
          <w:sz w:val="28"/>
          <w:szCs w:val="28"/>
          <w:highlight w:val="none"/>
        </w:rPr>
      </w:pPr>
      <w:r>
        <w:rPr>
          <w:rFonts w:hint="eastAsia" w:ascii="宋体" w:hAnsi="宋体" w:eastAsia="宋体" w:cs="宋体"/>
          <w:color w:val="auto"/>
          <w:spacing w:val="-2"/>
          <w:sz w:val="28"/>
          <w:szCs w:val="28"/>
          <w:highlight w:val="none"/>
        </w:rPr>
        <w:t>本合同自</w:t>
      </w:r>
      <w:r>
        <w:rPr>
          <w:rFonts w:hint="eastAsia" w:ascii="宋体" w:hAnsi="宋体" w:eastAsia="宋体" w:cs="宋体"/>
          <w:color w:val="auto"/>
          <w:spacing w:val="-3"/>
          <w:sz w:val="28"/>
          <w:szCs w:val="28"/>
          <w:highlight w:val="none"/>
          <w:u w:val="single"/>
        </w:rPr>
        <w:t>双方签字盖章后</w:t>
      </w:r>
      <w:r>
        <w:rPr>
          <w:rFonts w:hint="eastAsia" w:ascii="宋体" w:hAnsi="宋体" w:eastAsia="宋体" w:cs="宋体"/>
          <w:color w:val="auto"/>
          <w:spacing w:val="-2"/>
          <w:sz w:val="28"/>
          <w:szCs w:val="28"/>
          <w:highlight w:val="none"/>
        </w:rPr>
        <w:t>生效。</w:t>
      </w:r>
    </w:p>
    <w:p w14:paraId="00984682">
      <w:pPr>
        <w:keepNext w:val="0"/>
        <w:keepLines w:val="0"/>
        <w:pageBreakBefore w:val="0"/>
        <w:widowControl w:val="0"/>
        <w:kinsoku/>
        <w:wordWrap/>
        <w:overflowPunct/>
        <w:topLinePunct w:val="0"/>
        <w:bidi w:val="0"/>
        <w:adjustRightInd/>
        <w:snapToGrid/>
        <w:spacing w:line="560" w:lineRule="exact"/>
        <w:ind w:left="332" w:right="6894"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pacing w:val="-2"/>
          <w:sz w:val="28"/>
          <w:szCs w:val="28"/>
          <w:highlight w:val="none"/>
        </w:rPr>
        <w:t>十三、合同份数</w:t>
      </w:r>
    </w:p>
    <w:p w14:paraId="5C85B5BA">
      <w:pPr>
        <w:keepNext w:val="0"/>
        <w:keepLines w:val="0"/>
        <w:pageBreakBefore w:val="0"/>
        <w:widowControl w:val="0"/>
        <w:kinsoku/>
        <w:wordWrap/>
        <w:overflowPunct/>
        <w:topLinePunct w:val="0"/>
        <w:bidi w:val="0"/>
        <w:adjustRightInd/>
        <w:snapToGrid/>
        <w:spacing w:line="560" w:lineRule="exact"/>
        <w:ind w:firstLine="280" w:firstLineChars="100"/>
        <w:textAlignment w:val="auto"/>
        <w:rPr>
          <w:rFonts w:hint="eastAsia" w:ascii="宋体" w:hAnsi="宋体" w:eastAsia="宋体" w:cs="宋体"/>
          <w:lang w:val="en-US" w:eastAsia="zh-CN"/>
        </w:rPr>
        <w:sectPr>
          <w:footerReference r:id="rId9" w:type="default"/>
          <w:pgSz w:w="11920" w:h="16840"/>
          <w:pgMar w:top="1580" w:right="800" w:bottom="1040" w:left="800" w:header="0" w:footer="857" w:gutter="0"/>
          <w:pgNumType w:fmt="decimal" w:start="1"/>
          <w:cols w:space="720" w:num="1"/>
        </w:sectPr>
      </w:pPr>
      <w:r>
        <w:rPr>
          <w:rFonts w:hint="eastAsia" w:ascii="宋体" w:hAnsi="宋体" w:eastAsia="宋体" w:cs="宋体"/>
          <w:color w:val="auto"/>
          <w:sz w:val="28"/>
          <w:szCs w:val="28"/>
          <w:highlight w:val="none"/>
        </w:rPr>
        <w:t>本合同一式</w:t>
      </w:r>
      <w:r>
        <w:rPr>
          <w:rFonts w:hint="eastAsia" w:ascii="宋体" w:hAnsi="宋体" w:eastAsia="宋体" w:cs="宋体"/>
          <w:color w:val="auto"/>
          <w:sz w:val="28"/>
          <w:szCs w:val="28"/>
          <w:highlight w:val="none"/>
          <w:lang w:val="en-US" w:eastAsia="zh-CN"/>
        </w:rPr>
        <w:t>陆</w:t>
      </w:r>
      <w:r>
        <w:rPr>
          <w:rFonts w:hint="eastAsia" w:ascii="宋体" w:hAnsi="宋体" w:eastAsia="宋体" w:cs="宋体"/>
          <w:color w:val="auto"/>
          <w:sz w:val="28"/>
          <w:szCs w:val="28"/>
          <w:highlight w:val="none"/>
        </w:rPr>
        <w:t>份，均具有同等法律效力，发包人执</w:t>
      </w:r>
      <w:r>
        <w:rPr>
          <w:rFonts w:hint="eastAsia" w:ascii="宋体" w:hAnsi="宋体" w:eastAsia="宋体" w:cs="宋体"/>
          <w:color w:val="auto"/>
          <w:sz w:val="28"/>
          <w:szCs w:val="28"/>
          <w:highlight w:val="none"/>
          <w:lang w:val="en-US" w:eastAsia="zh-CN"/>
        </w:rPr>
        <w:t>肆</w:t>
      </w:r>
      <w:r>
        <w:rPr>
          <w:rFonts w:hint="eastAsia" w:ascii="宋体" w:hAnsi="宋体" w:eastAsia="宋体" w:cs="宋体"/>
          <w:color w:val="auto"/>
          <w:sz w:val="28"/>
          <w:szCs w:val="28"/>
          <w:highlight w:val="none"/>
        </w:rPr>
        <w:t>份，承包人执</w:t>
      </w:r>
      <w:r>
        <w:rPr>
          <w:rFonts w:hint="eastAsia" w:ascii="宋体" w:hAnsi="宋体" w:eastAsia="宋体" w:cs="宋体"/>
          <w:color w:val="auto"/>
          <w:sz w:val="28"/>
          <w:szCs w:val="28"/>
          <w:highlight w:val="none"/>
          <w:lang w:val="en-US" w:eastAsia="zh-CN"/>
        </w:rPr>
        <w:t>贰</w:t>
      </w:r>
      <w:r>
        <w:rPr>
          <w:rFonts w:hint="eastAsia" w:ascii="宋体" w:hAnsi="宋体" w:eastAsia="宋体" w:cs="宋体"/>
          <w:color w:val="auto"/>
          <w:sz w:val="28"/>
          <w:szCs w:val="28"/>
          <w:highlight w:val="none"/>
        </w:rPr>
        <w:t>份</w:t>
      </w:r>
    </w:p>
    <w:p w14:paraId="5CFEBE0B">
      <w:pPr>
        <w:pStyle w:val="19"/>
        <w:keepNext w:val="0"/>
        <w:keepLines w:val="0"/>
        <w:pageBreakBefore w:val="0"/>
        <w:widowControl w:val="0"/>
        <w:tabs>
          <w:tab w:val="left" w:pos="1434"/>
          <w:tab w:val="left" w:pos="5612"/>
          <w:tab w:val="left" w:pos="6714"/>
        </w:tabs>
        <w:kinsoku/>
        <w:overflowPunct/>
        <w:topLinePunct w:val="0"/>
        <w:bidi w:val="0"/>
        <w:snapToGrid/>
        <w:spacing w:line="500" w:lineRule="exact"/>
        <w:ind w:left="6719" w:leftChars="133" w:hanging="6440" w:hangingChars="23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w:t>
      </w:r>
      <w:r>
        <w:rPr>
          <w:rFonts w:hint="eastAsia" w:ascii="宋体" w:hAnsi="宋体" w:eastAsia="宋体" w:cs="宋体"/>
          <w:color w:val="auto"/>
          <w:spacing w:val="-3"/>
          <w:sz w:val="28"/>
          <w:szCs w:val="28"/>
          <w:highlight w:val="none"/>
        </w:rPr>
        <w:t>公</w:t>
      </w:r>
      <w:r>
        <w:rPr>
          <w:rFonts w:hint="eastAsia" w:ascii="宋体" w:hAnsi="宋体" w:eastAsia="宋体" w:cs="宋体"/>
          <w:color w:val="auto"/>
          <w:sz w:val="28"/>
          <w:szCs w:val="28"/>
          <w:highlight w:val="none"/>
        </w:rPr>
        <w:t>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w:t>
      </w:r>
      <w:r>
        <w:rPr>
          <w:rFonts w:hint="eastAsia" w:ascii="宋体" w:hAnsi="宋体" w:eastAsia="宋体" w:cs="宋体"/>
          <w:color w:val="auto"/>
          <w:spacing w:val="-3"/>
          <w:sz w:val="28"/>
          <w:szCs w:val="28"/>
          <w:highlight w:val="none"/>
        </w:rPr>
        <w:t>公</w:t>
      </w:r>
      <w:r>
        <w:rPr>
          <w:rFonts w:hint="eastAsia" w:ascii="宋体" w:hAnsi="宋体" w:eastAsia="宋体" w:cs="宋体"/>
          <w:color w:val="auto"/>
          <w:sz w:val="28"/>
          <w:szCs w:val="28"/>
          <w:highlight w:val="none"/>
        </w:rPr>
        <w:t>章）</w:t>
      </w:r>
    </w:p>
    <w:p w14:paraId="10BFED93">
      <w:pPr>
        <w:pStyle w:val="19"/>
        <w:keepNext w:val="0"/>
        <w:keepLines w:val="0"/>
        <w:pageBreakBefore w:val="0"/>
        <w:widowControl w:val="0"/>
        <w:kinsoku/>
        <w:overflowPunct/>
        <w:topLinePunct w:val="0"/>
        <w:bidi w:val="0"/>
        <w:snapToGrid/>
        <w:spacing w:line="500" w:lineRule="exact"/>
        <w:ind w:firstLine="280"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 崇左市江州区交通运输局                                              </w:t>
      </w:r>
    </w:p>
    <w:p w14:paraId="658109BA">
      <w:pPr>
        <w:pStyle w:val="19"/>
        <w:keepNext w:val="0"/>
        <w:keepLines w:val="0"/>
        <w:pageBreakBefore w:val="0"/>
        <w:widowControl w:val="0"/>
        <w:tabs>
          <w:tab w:val="left" w:pos="5394"/>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代表</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或其</w:t>
      </w:r>
      <w:r>
        <w:rPr>
          <w:rFonts w:hint="eastAsia" w:ascii="宋体" w:hAnsi="宋体" w:eastAsia="宋体" w:cs="宋体"/>
          <w:color w:val="auto"/>
          <w:spacing w:val="-3"/>
          <w:sz w:val="28"/>
          <w:szCs w:val="28"/>
          <w:highlight w:val="none"/>
        </w:rPr>
        <w:t>委</w:t>
      </w:r>
      <w:r>
        <w:rPr>
          <w:rFonts w:hint="eastAsia" w:ascii="宋体" w:hAnsi="宋体" w:eastAsia="宋体" w:cs="宋体"/>
          <w:color w:val="auto"/>
          <w:sz w:val="28"/>
          <w:szCs w:val="28"/>
          <w:highlight w:val="none"/>
        </w:rPr>
        <w:t>托代</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人：</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法</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代表</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或其</w:t>
      </w:r>
      <w:r>
        <w:rPr>
          <w:rFonts w:hint="eastAsia" w:ascii="宋体" w:hAnsi="宋体" w:eastAsia="宋体" w:cs="宋体"/>
          <w:color w:val="auto"/>
          <w:spacing w:val="-3"/>
          <w:sz w:val="28"/>
          <w:szCs w:val="28"/>
          <w:highlight w:val="none"/>
        </w:rPr>
        <w:t>委</w:t>
      </w:r>
      <w:r>
        <w:rPr>
          <w:rFonts w:hint="eastAsia" w:ascii="宋体" w:hAnsi="宋体" w:eastAsia="宋体" w:cs="宋体"/>
          <w:color w:val="auto"/>
          <w:sz w:val="28"/>
          <w:szCs w:val="28"/>
          <w:highlight w:val="none"/>
        </w:rPr>
        <w:t>托代</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人：</w:t>
      </w:r>
    </w:p>
    <w:p w14:paraId="72EC3BF8">
      <w:pPr>
        <w:pStyle w:val="19"/>
        <w:keepNext w:val="0"/>
        <w:keepLines w:val="0"/>
        <w:pageBreakBefore w:val="0"/>
        <w:widowControl w:val="0"/>
        <w:tabs>
          <w:tab w:val="left" w:pos="5283"/>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签</w:t>
      </w:r>
      <w:r>
        <w:rPr>
          <w:rFonts w:hint="eastAsia" w:ascii="宋体" w:hAnsi="宋体" w:eastAsia="宋体" w:cs="宋体"/>
          <w:color w:val="auto"/>
          <w:sz w:val="28"/>
          <w:szCs w:val="28"/>
          <w:highlight w:val="none"/>
        </w:rPr>
        <w:t>字）</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签</w:t>
      </w:r>
      <w:r>
        <w:rPr>
          <w:rFonts w:hint="eastAsia" w:ascii="宋体" w:hAnsi="宋体" w:eastAsia="宋体" w:cs="宋体"/>
          <w:color w:val="auto"/>
          <w:sz w:val="28"/>
          <w:szCs w:val="28"/>
          <w:highlight w:val="none"/>
        </w:rPr>
        <w:t>字）</w:t>
      </w:r>
    </w:p>
    <w:p w14:paraId="2515E10C">
      <w:pPr>
        <w:pStyle w:val="19"/>
        <w:keepNext w:val="0"/>
        <w:keepLines w:val="0"/>
        <w:pageBreakBefore w:val="0"/>
        <w:widowControl w:val="0"/>
        <w:tabs>
          <w:tab w:val="left" w:pos="3358"/>
          <w:tab w:val="left" w:pos="5283"/>
          <w:tab w:val="left" w:pos="8417"/>
        </w:tabs>
        <w:kinsoku/>
        <w:wordWrap w:val="0"/>
        <w:overflowPunct/>
        <w:topLinePunct w:val="0"/>
        <w:autoSpaceDE w:val="0"/>
        <w:autoSpaceDN w:val="0"/>
        <w:bidi w:val="0"/>
        <w:adjustRightInd w:val="0"/>
        <w:snapToGrid/>
        <w:spacing w:line="500" w:lineRule="exact"/>
        <w:ind w:left="2574" w:leftChars="159" w:hanging="2240" w:hangingChars="800"/>
        <w:jc w:val="left"/>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组</w:t>
      </w:r>
      <w:r>
        <w:rPr>
          <w:rFonts w:hint="eastAsia" w:ascii="宋体" w:hAnsi="宋体" w:eastAsia="宋体" w:cs="宋体"/>
          <w:color w:val="auto"/>
          <w:spacing w:val="-3"/>
          <w:sz w:val="28"/>
          <w:szCs w:val="28"/>
          <w:highlight w:val="none"/>
        </w:rPr>
        <w:t>织</w:t>
      </w:r>
      <w:r>
        <w:rPr>
          <w:rFonts w:hint="eastAsia" w:ascii="宋体" w:hAnsi="宋体" w:eastAsia="宋体" w:cs="宋体"/>
          <w:color w:val="auto"/>
          <w:sz w:val="28"/>
          <w:szCs w:val="28"/>
          <w:highlight w:val="none"/>
        </w:rPr>
        <w:t>机构</w:t>
      </w:r>
      <w:r>
        <w:rPr>
          <w:rFonts w:hint="eastAsia" w:ascii="宋体" w:hAnsi="宋体" w:eastAsia="宋体" w:cs="宋体"/>
          <w:color w:val="auto"/>
          <w:spacing w:val="-3"/>
          <w:sz w:val="28"/>
          <w:szCs w:val="28"/>
          <w:highlight w:val="none"/>
        </w:rPr>
        <w:t>代</w:t>
      </w:r>
      <w:r>
        <w:rPr>
          <w:rFonts w:hint="eastAsia" w:ascii="宋体" w:hAnsi="宋体" w:eastAsia="宋体" w:cs="宋体"/>
          <w:color w:val="auto"/>
          <w:sz w:val="28"/>
          <w:szCs w:val="28"/>
          <w:highlight w:val="none"/>
        </w:rPr>
        <w:t>码：</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pacing w:val="-1"/>
          <w:sz w:val="28"/>
          <w:szCs w:val="28"/>
          <w:highlight w:val="none"/>
          <w:u w:val="none"/>
        </w:rPr>
        <w:t>组</w:t>
      </w:r>
      <w:r>
        <w:rPr>
          <w:rFonts w:hint="eastAsia" w:ascii="宋体" w:hAnsi="宋体" w:eastAsia="宋体" w:cs="宋体"/>
          <w:color w:val="auto"/>
          <w:spacing w:val="-3"/>
          <w:sz w:val="28"/>
          <w:szCs w:val="28"/>
          <w:highlight w:val="none"/>
        </w:rPr>
        <w:t>织</w:t>
      </w:r>
      <w:r>
        <w:rPr>
          <w:rFonts w:hint="eastAsia" w:ascii="宋体" w:hAnsi="宋体" w:eastAsia="宋体" w:cs="宋体"/>
          <w:color w:val="auto"/>
          <w:spacing w:val="-1"/>
          <w:sz w:val="28"/>
          <w:szCs w:val="28"/>
          <w:highlight w:val="none"/>
        </w:rPr>
        <w:t>机构</w:t>
      </w:r>
      <w:r>
        <w:rPr>
          <w:rFonts w:hint="eastAsia" w:ascii="宋体" w:hAnsi="宋体" w:eastAsia="宋体" w:cs="宋体"/>
          <w:color w:val="auto"/>
          <w:spacing w:val="-3"/>
          <w:sz w:val="28"/>
          <w:szCs w:val="28"/>
          <w:highlight w:val="none"/>
        </w:rPr>
        <w:t>代</w:t>
      </w:r>
      <w:r>
        <w:rPr>
          <w:rFonts w:hint="eastAsia" w:ascii="宋体" w:hAnsi="宋体" w:eastAsia="宋体" w:cs="宋体"/>
          <w:color w:val="auto"/>
          <w:spacing w:val="-1"/>
          <w:sz w:val="28"/>
          <w:szCs w:val="28"/>
          <w:highlight w:val="none"/>
        </w:rPr>
        <w:t>码：</w:t>
      </w:r>
    </w:p>
    <w:p w14:paraId="17254BF9">
      <w:pPr>
        <w:pStyle w:val="19"/>
        <w:keepNext w:val="0"/>
        <w:keepLines w:val="0"/>
        <w:pageBreakBefore w:val="0"/>
        <w:widowControl w:val="0"/>
        <w:tabs>
          <w:tab w:val="left" w:pos="774"/>
          <w:tab w:val="left" w:pos="3358"/>
          <w:tab w:val="left" w:pos="5283"/>
          <w:tab w:val="left" w:pos="5723"/>
          <w:tab w:val="left" w:pos="8638"/>
        </w:tabs>
        <w:kinsoku/>
        <w:overflowPunct/>
        <w:topLinePunct w:val="0"/>
        <w:bidi w:val="0"/>
        <w:snapToGrid/>
        <w:spacing w:line="500" w:lineRule="exact"/>
        <w:ind w:left="6772" w:leftChars="158" w:hanging="6440" w:hangingChars="2300"/>
        <w:jc w:val="left"/>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地</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址</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崇左市江州区江南路120号</w:t>
      </w:r>
      <w:r>
        <w:rPr>
          <w:rFonts w:hint="eastAsia" w:ascii="宋体" w:hAnsi="宋体" w:eastAsia="宋体" w:cs="宋体"/>
          <w:color w:val="auto"/>
          <w:spacing w:val="-4"/>
          <w:sz w:val="28"/>
          <w:szCs w:val="28"/>
          <w:highlight w:val="none"/>
          <w:u w:val="none"/>
          <w:lang w:val="en-US" w:eastAsia="zh-CN"/>
        </w:rPr>
        <w:t xml:space="preserve">       </w:t>
      </w:r>
      <w:r>
        <w:rPr>
          <w:rFonts w:hint="eastAsia" w:ascii="宋体" w:hAnsi="宋体" w:eastAsia="宋体" w:cs="宋体"/>
          <w:color w:val="auto"/>
          <w:sz w:val="28"/>
          <w:szCs w:val="28"/>
          <w:highlight w:val="none"/>
        </w:rPr>
        <w:t>地</w:t>
      </w:r>
      <w:r>
        <w:rPr>
          <w:rFonts w:hint="eastAsia" w:ascii="宋体" w:hAnsi="宋体" w:eastAsia="宋体" w:cs="宋体"/>
          <w:color w:val="auto"/>
          <w:spacing w:val="-1"/>
          <w:sz w:val="28"/>
          <w:szCs w:val="28"/>
          <w:highlight w:val="none"/>
        </w:rPr>
        <w:t>址：</w:t>
      </w:r>
      <w:r>
        <w:rPr>
          <w:rFonts w:hint="eastAsia" w:ascii="宋体" w:hAnsi="宋体" w:eastAsia="宋体" w:cs="宋体"/>
          <w:color w:val="auto"/>
          <w:sz w:val="28"/>
          <w:szCs w:val="28"/>
          <w:highlight w:val="none"/>
          <w:u w:val="single"/>
          <w:lang w:val="en-US" w:eastAsia="zh-CN"/>
        </w:rPr>
        <w:t xml:space="preserve"> </w:t>
      </w:r>
    </w:p>
    <w:p w14:paraId="76D313E7">
      <w:pPr>
        <w:pStyle w:val="19"/>
        <w:keepNext w:val="0"/>
        <w:keepLines w:val="0"/>
        <w:pageBreakBefore w:val="0"/>
        <w:widowControl w:val="0"/>
        <w:tabs>
          <w:tab w:val="left" w:pos="774"/>
          <w:tab w:val="left" w:pos="3358"/>
          <w:tab w:val="left" w:pos="5283"/>
          <w:tab w:val="left" w:pos="5723"/>
          <w:tab w:val="left" w:pos="8638"/>
        </w:tabs>
        <w:kinsoku/>
        <w:overflowPunct/>
        <w:topLinePunct w:val="0"/>
        <w:bidi w:val="0"/>
        <w:snapToGrid/>
        <w:spacing w:line="500" w:lineRule="exact"/>
        <w:ind w:left="6757" w:leftChars="2951" w:hanging="560" w:hanging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 xml:space="preserve">                                               </w:t>
      </w:r>
    </w:p>
    <w:p w14:paraId="1BCBE0E8">
      <w:pPr>
        <w:pStyle w:val="19"/>
        <w:keepNext w:val="0"/>
        <w:keepLines w:val="0"/>
        <w:pageBreakBefore w:val="0"/>
        <w:widowControl w:val="0"/>
        <w:tabs>
          <w:tab w:val="left" w:pos="3468"/>
          <w:tab w:val="left" w:pos="5283"/>
          <w:tab w:val="left" w:pos="8527"/>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w:t>
      </w:r>
      <w:r>
        <w:rPr>
          <w:rFonts w:hint="eastAsia" w:ascii="宋体" w:hAnsi="宋体" w:eastAsia="宋体" w:cs="宋体"/>
          <w:color w:val="auto"/>
          <w:spacing w:val="-3"/>
          <w:sz w:val="28"/>
          <w:szCs w:val="28"/>
          <w:highlight w:val="none"/>
        </w:rPr>
        <w:t>政</w:t>
      </w:r>
      <w:r>
        <w:rPr>
          <w:rFonts w:hint="eastAsia" w:ascii="宋体" w:hAnsi="宋体" w:eastAsia="宋体" w:cs="宋体"/>
          <w:color w:val="auto"/>
          <w:sz w:val="28"/>
          <w:szCs w:val="28"/>
          <w:highlight w:val="none"/>
        </w:rPr>
        <w:t>编码：</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532200</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pacing w:val="-1"/>
          <w:sz w:val="28"/>
          <w:szCs w:val="28"/>
          <w:highlight w:val="none"/>
        </w:rPr>
        <w:t>邮</w:t>
      </w:r>
      <w:r>
        <w:rPr>
          <w:rFonts w:hint="eastAsia" w:ascii="宋体" w:hAnsi="宋体" w:eastAsia="宋体" w:cs="宋体"/>
          <w:color w:val="auto"/>
          <w:spacing w:val="-3"/>
          <w:sz w:val="28"/>
          <w:szCs w:val="28"/>
          <w:highlight w:val="none"/>
        </w:rPr>
        <w:t>政</w:t>
      </w:r>
      <w:r>
        <w:rPr>
          <w:rFonts w:hint="eastAsia" w:ascii="宋体" w:hAnsi="宋体" w:eastAsia="宋体" w:cs="宋体"/>
          <w:color w:val="auto"/>
          <w:spacing w:val="-1"/>
          <w:sz w:val="28"/>
          <w:szCs w:val="28"/>
          <w:highlight w:val="none"/>
        </w:rPr>
        <w:t>编码</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532200   </w:t>
      </w:r>
    </w:p>
    <w:p w14:paraId="7560807A">
      <w:pPr>
        <w:pStyle w:val="19"/>
        <w:keepNext w:val="0"/>
        <w:keepLines w:val="0"/>
        <w:pageBreakBefore w:val="0"/>
        <w:widowControl w:val="0"/>
        <w:tabs>
          <w:tab w:val="left" w:pos="3358"/>
          <w:tab w:val="left" w:pos="5283"/>
          <w:tab w:val="left" w:pos="8527"/>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代表</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pacing w:val="-1"/>
          <w:sz w:val="28"/>
          <w:szCs w:val="28"/>
          <w:highlight w:val="none"/>
        </w:rPr>
        <w:t>法</w:t>
      </w:r>
      <w:r>
        <w:rPr>
          <w:rFonts w:hint="eastAsia" w:ascii="宋体" w:hAnsi="宋体" w:eastAsia="宋体" w:cs="宋体"/>
          <w:color w:val="auto"/>
          <w:spacing w:val="-3"/>
          <w:sz w:val="28"/>
          <w:szCs w:val="28"/>
          <w:highlight w:val="none"/>
        </w:rPr>
        <w:t>定</w:t>
      </w:r>
      <w:r>
        <w:rPr>
          <w:rFonts w:hint="eastAsia" w:ascii="宋体" w:hAnsi="宋体" w:eastAsia="宋体" w:cs="宋体"/>
          <w:color w:val="auto"/>
          <w:spacing w:val="-1"/>
          <w:sz w:val="28"/>
          <w:szCs w:val="28"/>
          <w:highlight w:val="none"/>
        </w:rPr>
        <w:t>代表</w:t>
      </w:r>
      <w:r>
        <w:rPr>
          <w:rFonts w:hint="eastAsia" w:ascii="宋体" w:hAnsi="宋体" w:eastAsia="宋体" w:cs="宋体"/>
          <w:color w:val="auto"/>
          <w:spacing w:val="-3"/>
          <w:sz w:val="28"/>
          <w:szCs w:val="28"/>
          <w:highlight w:val="none"/>
        </w:rPr>
        <w:t>人</w:t>
      </w:r>
      <w:r>
        <w:rPr>
          <w:rFonts w:hint="eastAsia" w:ascii="宋体" w:hAnsi="宋体" w:eastAsia="宋体" w:cs="宋体"/>
          <w:color w:val="auto"/>
          <w:spacing w:val="-1"/>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ab/>
      </w:r>
    </w:p>
    <w:p w14:paraId="50BBCDB4">
      <w:pPr>
        <w:pStyle w:val="19"/>
        <w:keepNext w:val="0"/>
        <w:keepLines w:val="0"/>
        <w:pageBreakBefore w:val="0"/>
        <w:widowControl w:val="0"/>
        <w:tabs>
          <w:tab w:val="left" w:pos="3358"/>
          <w:tab w:val="left" w:pos="5283"/>
          <w:tab w:val="left" w:pos="8527"/>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w:t>
      </w:r>
      <w:r>
        <w:rPr>
          <w:rFonts w:hint="eastAsia" w:ascii="宋体" w:hAnsi="宋体" w:eastAsia="宋体" w:cs="宋体"/>
          <w:color w:val="auto"/>
          <w:spacing w:val="-3"/>
          <w:sz w:val="28"/>
          <w:szCs w:val="28"/>
          <w:highlight w:val="none"/>
        </w:rPr>
        <w:t>托</w:t>
      </w:r>
      <w:r>
        <w:rPr>
          <w:rFonts w:hint="eastAsia" w:ascii="宋体" w:hAnsi="宋体" w:eastAsia="宋体" w:cs="宋体"/>
          <w:color w:val="auto"/>
          <w:sz w:val="28"/>
          <w:szCs w:val="28"/>
          <w:highlight w:val="none"/>
        </w:rPr>
        <w:t>代理</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pacing w:val="-1"/>
          <w:sz w:val="28"/>
          <w:szCs w:val="28"/>
          <w:highlight w:val="none"/>
        </w:rPr>
        <w:t>委</w:t>
      </w:r>
      <w:r>
        <w:rPr>
          <w:rFonts w:hint="eastAsia" w:ascii="宋体" w:hAnsi="宋体" w:eastAsia="宋体" w:cs="宋体"/>
          <w:color w:val="auto"/>
          <w:spacing w:val="-3"/>
          <w:sz w:val="28"/>
          <w:szCs w:val="28"/>
          <w:highlight w:val="none"/>
        </w:rPr>
        <w:t>托</w:t>
      </w:r>
      <w:r>
        <w:rPr>
          <w:rFonts w:hint="eastAsia" w:ascii="宋体" w:hAnsi="宋体" w:eastAsia="宋体" w:cs="宋体"/>
          <w:color w:val="auto"/>
          <w:spacing w:val="-1"/>
          <w:sz w:val="28"/>
          <w:szCs w:val="28"/>
          <w:highlight w:val="none"/>
        </w:rPr>
        <w:t>代理</w:t>
      </w:r>
      <w:r>
        <w:rPr>
          <w:rFonts w:hint="eastAsia" w:ascii="宋体" w:hAnsi="宋体" w:eastAsia="宋体" w:cs="宋体"/>
          <w:color w:val="auto"/>
          <w:spacing w:val="-3"/>
          <w:sz w:val="28"/>
          <w:szCs w:val="28"/>
          <w:highlight w:val="none"/>
        </w:rPr>
        <w:t>人</w:t>
      </w:r>
      <w:r>
        <w:rPr>
          <w:rFonts w:hint="eastAsia" w:ascii="宋体" w:hAnsi="宋体" w:eastAsia="宋体" w:cs="宋体"/>
          <w:color w:val="auto"/>
          <w:spacing w:val="-1"/>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3792AA76">
      <w:pPr>
        <w:pStyle w:val="19"/>
        <w:keepNext w:val="0"/>
        <w:keepLines w:val="0"/>
        <w:pageBreakBefore w:val="0"/>
        <w:widowControl w:val="0"/>
        <w:tabs>
          <w:tab w:val="left" w:pos="774"/>
          <w:tab w:val="left" w:pos="3358"/>
          <w:tab w:val="left" w:pos="5283"/>
          <w:tab w:val="left" w:pos="5723"/>
          <w:tab w:val="left" w:pos="8527"/>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话</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ab/>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none"/>
          <w:lang w:val="en-US" w:eastAsia="zh-CN"/>
        </w:rPr>
        <w:t xml:space="preserve">              </w:t>
      </w:r>
      <w:r>
        <w:rPr>
          <w:rFonts w:hint="eastAsia" w:ascii="宋体" w:hAnsi="宋体" w:eastAsia="宋体" w:cs="宋体"/>
          <w:color w:val="auto"/>
          <w:sz w:val="28"/>
          <w:szCs w:val="28"/>
          <w:highlight w:val="none"/>
        </w:rPr>
        <w:t>电</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pacing w:val="-1"/>
          <w:sz w:val="28"/>
          <w:szCs w:val="28"/>
          <w:highlight w:val="none"/>
        </w:rPr>
        <w:t>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p>
    <w:p w14:paraId="07BC0EEA">
      <w:pPr>
        <w:pStyle w:val="19"/>
        <w:keepNext w:val="0"/>
        <w:keepLines w:val="0"/>
        <w:pageBreakBefore w:val="0"/>
        <w:widowControl w:val="0"/>
        <w:tabs>
          <w:tab w:val="left" w:pos="774"/>
          <w:tab w:val="left" w:pos="3358"/>
          <w:tab w:val="left" w:pos="5283"/>
          <w:tab w:val="left" w:pos="5723"/>
          <w:tab w:val="left" w:pos="8527"/>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传</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真</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rPr>
        <w:tab/>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none"/>
          <w:lang w:val="en-US" w:eastAsia="zh-CN"/>
        </w:rPr>
        <w:t xml:space="preserve">              </w:t>
      </w:r>
      <w:r>
        <w:rPr>
          <w:rFonts w:hint="eastAsia" w:ascii="宋体" w:hAnsi="宋体" w:eastAsia="宋体" w:cs="宋体"/>
          <w:color w:val="auto"/>
          <w:sz w:val="28"/>
          <w:szCs w:val="28"/>
          <w:highlight w:val="none"/>
        </w:rPr>
        <w:t>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pacing w:val="-1"/>
          <w:sz w:val="28"/>
          <w:szCs w:val="28"/>
          <w:highlight w:val="none"/>
        </w:rPr>
        <w:t>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2987FE0B">
      <w:pPr>
        <w:pStyle w:val="19"/>
        <w:keepNext w:val="0"/>
        <w:keepLines w:val="0"/>
        <w:pageBreakBefore w:val="0"/>
        <w:widowControl w:val="0"/>
        <w:tabs>
          <w:tab w:val="left" w:pos="5283"/>
          <w:tab w:val="left" w:pos="8527"/>
        </w:tabs>
        <w:kinsoku/>
        <w:overflowPunct/>
        <w:topLinePunct w:val="0"/>
        <w:bidi w:val="0"/>
        <w:snapToGrid/>
        <w:spacing w:line="500" w:lineRule="exact"/>
        <w:ind w:left="33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w:t>
      </w:r>
      <w:r>
        <w:rPr>
          <w:rFonts w:hint="eastAsia" w:ascii="宋体" w:hAnsi="宋体" w:eastAsia="宋体" w:cs="宋体"/>
          <w:color w:val="auto"/>
          <w:spacing w:val="-3"/>
          <w:sz w:val="28"/>
          <w:szCs w:val="28"/>
          <w:highlight w:val="none"/>
        </w:rPr>
        <w:t>子</w:t>
      </w:r>
      <w:r>
        <w:rPr>
          <w:rFonts w:hint="eastAsia" w:ascii="宋体" w:hAnsi="宋体" w:eastAsia="宋体" w:cs="宋体"/>
          <w:color w:val="auto"/>
          <w:sz w:val="28"/>
          <w:szCs w:val="28"/>
          <w:highlight w:val="none"/>
        </w:rPr>
        <w:t>信箱：</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pacing w:val="-1"/>
          <w:sz w:val="28"/>
          <w:szCs w:val="28"/>
          <w:highlight w:val="none"/>
        </w:rPr>
        <w:t>电</w:t>
      </w:r>
      <w:r>
        <w:rPr>
          <w:rFonts w:hint="eastAsia" w:ascii="宋体" w:hAnsi="宋体" w:eastAsia="宋体" w:cs="宋体"/>
          <w:color w:val="auto"/>
          <w:spacing w:val="-3"/>
          <w:sz w:val="28"/>
          <w:szCs w:val="28"/>
          <w:highlight w:val="none"/>
        </w:rPr>
        <w:t>子</w:t>
      </w:r>
      <w:r>
        <w:rPr>
          <w:rFonts w:hint="eastAsia" w:ascii="宋体" w:hAnsi="宋体" w:eastAsia="宋体" w:cs="宋体"/>
          <w:color w:val="auto"/>
          <w:spacing w:val="-1"/>
          <w:sz w:val="28"/>
          <w:szCs w:val="28"/>
          <w:highlight w:val="none"/>
        </w:rPr>
        <w:t>信箱</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ab/>
      </w:r>
    </w:p>
    <w:p w14:paraId="0C45239B">
      <w:pPr>
        <w:pStyle w:val="19"/>
        <w:keepNext w:val="0"/>
        <w:keepLines w:val="0"/>
        <w:pageBreakBefore w:val="0"/>
        <w:widowControl w:val="0"/>
        <w:tabs>
          <w:tab w:val="left" w:pos="3358"/>
          <w:tab w:val="left" w:pos="5283"/>
          <w:tab w:val="left" w:pos="8527"/>
        </w:tabs>
        <w:kinsoku/>
        <w:overflowPunct/>
        <w:topLinePunct w:val="0"/>
        <w:bidi w:val="0"/>
        <w:snapToGrid/>
        <w:spacing w:line="500" w:lineRule="exact"/>
        <w:ind w:left="5932" w:leftChars="158" w:hanging="5600" w:hangingChars="20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开</w:t>
      </w:r>
      <w:r>
        <w:rPr>
          <w:rFonts w:hint="eastAsia" w:ascii="宋体" w:hAnsi="宋体" w:eastAsia="宋体" w:cs="宋体"/>
          <w:color w:val="auto"/>
          <w:spacing w:val="-3"/>
          <w:sz w:val="28"/>
          <w:szCs w:val="28"/>
          <w:highlight w:val="none"/>
        </w:rPr>
        <w:t>户</w:t>
      </w:r>
      <w:r>
        <w:rPr>
          <w:rFonts w:hint="eastAsia" w:ascii="宋体" w:hAnsi="宋体" w:eastAsia="宋体" w:cs="宋体"/>
          <w:color w:val="auto"/>
          <w:sz w:val="28"/>
          <w:szCs w:val="28"/>
          <w:highlight w:val="none"/>
        </w:rPr>
        <w:t>银行：</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pacing w:val="-1"/>
          <w:sz w:val="28"/>
          <w:szCs w:val="28"/>
          <w:highlight w:val="none"/>
        </w:rPr>
        <w:t>开</w:t>
      </w:r>
      <w:r>
        <w:rPr>
          <w:rFonts w:hint="eastAsia" w:ascii="宋体" w:hAnsi="宋体" w:eastAsia="宋体" w:cs="宋体"/>
          <w:color w:val="auto"/>
          <w:spacing w:val="-3"/>
          <w:sz w:val="28"/>
          <w:szCs w:val="28"/>
          <w:highlight w:val="none"/>
        </w:rPr>
        <w:t>户</w:t>
      </w:r>
      <w:r>
        <w:rPr>
          <w:rFonts w:hint="eastAsia" w:ascii="宋体" w:hAnsi="宋体" w:eastAsia="宋体" w:cs="宋体"/>
          <w:color w:val="auto"/>
          <w:spacing w:val="-1"/>
          <w:sz w:val="28"/>
          <w:szCs w:val="28"/>
          <w:highlight w:val="none"/>
        </w:rPr>
        <w:t>银行</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
    <w:p w14:paraId="7245F3AA">
      <w:pPr>
        <w:keepNext w:val="0"/>
        <w:keepLines w:val="0"/>
        <w:pageBreakBefore w:val="0"/>
        <w:widowControl w:val="0"/>
        <w:kinsoku/>
        <w:overflowPunct/>
        <w:topLinePunct w:val="0"/>
        <w:bidi w:val="0"/>
        <w:snapToGrid/>
        <w:spacing w:line="500" w:lineRule="exact"/>
        <w:ind w:firstLine="280" w:firstLineChars="100"/>
        <w:textAlignment w:val="auto"/>
        <w:rPr>
          <w:rFonts w:hint="eastAsia" w:ascii="宋体" w:hAnsi="宋体" w:eastAsia="宋体" w:cs="宋体"/>
        </w:rPr>
        <w:sectPr>
          <w:pgSz w:w="11920" w:h="16840"/>
          <w:pgMar w:top="1300" w:right="800" w:bottom="1040" w:left="800" w:header="0" w:footer="857" w:gutter="0"/>
          <w:pgNumType w:fmt="decimal"/>
          <w:cols w:space="720" w:num="1"/>
        </w:sectPr>
      </w:pPr>
      <w:r>
        <w:rPr>
          <w:rFonts w:hint="eastAsia" w:ascii="宋体" w:hAnsi="宋体" w:eastAsia="宋体" w:cs="宋体"/>
          <w:color w:val="auto"/>
          <w:sz w:val="28"/>
          <w:szCs w:val="28"/>
          <w:highlight w:val="none"/>
        </w:rPr>
        <w:t>账</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号</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ab/>
      </w:r>
      <w:r>
        <w:rPr>
          <w:rFonts w:hint="eastAsia" w:ascii="宋体" w:hAnsi="宋体" w:eastAsia="宋体" w:cs="宋体"/>
          <w:color w:val="auto"/>
          <w:spacing w:val="-4"/>
          <w:sz w:val="28"/>
          <w:szCs w:val="28"/>
          <w:highlight w:val="none"/>
        </w:rPr>
        <w:tab/>
      </w:r>
      <w:r>
        <w:rPr>
          <w:rFonts w:hint="eastAsia" w:ascii="宋体" w:hAnsi="宋体" w:eastAsia="宋体" w:cs="宋体"/>
          <w:color w:val="auto"/>
          <w:spacing w:val="-4"/>
          <w:sz w:val="28"/>
          <w:szCs w:val="28"/>
          <w:highlight w:val="none"/>
          <w:lang w:val="en-US" w:eastAsia="zh-CN"/>
        </w:rPr>
        <w:t xml:space="preserve">             </w:t>
      </w:r>
      <w:r>
        <w:rPr>
          <w:rFonts w:hint="eastAsia" w:ascii="宋体" w:hAnsi="宋体" w:eastAsia="宋体" w:cs="宋体"/>
          <w:color w:val="auto"/>
          <w:sz w:val="28"/>
          <w:szCs w:val="28"/>
          <w:highlight w:val="none"/>
        </w:rPr>
        <w:t>账</w:t>
      </w:r>
      <w:r>
        <w:rPr>
          <w:rFonts w:hint="eastAsia" w:ascii="宋体" w:hAnsi="宋体" w:eastAsia="宋体" w:cs="宋体"/>
          <w:color w:val="auto"/>
          <w:sz w:val="28"/>
          <w:szCs w:val="28"/>
          <w:highlight w:val="none"/>
        </w:rPr>
        <w:tab/>
      </w:r>
      <w:r>
        <w:rPr>
          <w:rFonts w:hint="eastAsia" w:ascii="宋体" w:hAnsi="宋体" w:eastAsia="宋体" w:cs="宋体"/>
          <w:color w:val="auto"/>
          <w:spacing w:val="-1"/>
          <w:sz w:val="28"/>
          <w:szCs w:val="28"/>
          <w:highlight w:val="none"/>
        </w:rPr>
        <w:t>号：</w:t>
      </w:r>
      <w:r>
        <w:rPr>
          <w:rFonts w:hint="eastAsia" w:ascii="宋体" w:hAnsi="宋体" w:eastAsia="宋体" w:cs="宋体"/>
          <w:color w:val="auto"/>
          <w:sz w:val="28"/>
          <w:szCs w:val="28"/>
          <w:highlight w:val="none"/>
          <w:u w:val="single"/>
          <w:lang w:val="en-US" w:eastAsia="zh-CN"/>
        </w:rPr>
        <w:t xml:space="preserve">  </w:t>
      </w:r>
    </w:p>
    <w:p w14:paraId="06DB7F0B">
      <w:pPr>
        <w:pStyle w:val="7"/>
        <w:pageBreakBefore w:val="0"/>
        <w:kinsoku/>
        <w:overflowPunct/>
        <w:topLinePunct w:val="0"/>
        <w:bidi w:val="0"/>
        <w:snapToGrid/>
        <w:spacing w:before="36"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第二部分 通用合同条款</w:t>
      </w:r>
    </w:p>
    <w:p w14:paraId="67BC6A45">
      <w:pPr>
        <w:pStyle w:val="19"/>
        <w:pageBreakBefore w:val="0"/>
        <w:kinsoku/>
        <w:overflowPunct/>
        <w:topLinePunct w:val="0"/>
        <w:bidi w:val="0"/>
        <w:snapToGrid/>
        <w:spacing w:before="10" w:line="560" w:lineRule="exact"/>
        <w:ind w:right="48" w:rightChars="23"/>
        <w:rPr>
          <w:rFonts w:hint="eastAsia" w:ascii="宋体" w:hAnsi="宋体" w:eastAsia="宋体" w:cs="宋体"/>
          <w:b/>
          <w:color w:val="auto"/>
          <w:sz w:val="28"/>
          <w:szCs w:val="28"/>
          <w:highlight w:val="none"/>
        </w:rPr>
      </w:pPr>
    </w:p>
    <w:p w14:paraId="4978F9F5">
      <w:pPr>
        <w:pageBreakBefore w:val="0"/>
        <w:kinsoku/>
        <w:overflowPunct/>
        <w:topLinePunct w:val="0"/>
        <w:bidi w:val="0"/>
        <w:snapToGrid/>
        <w:spacing w:before="0" w:line="560" w:lineRule="exact"/>
        <w:ind w:left="332" w:right="48" w:rightChars="23" w:firstLine="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“合同通用条款”，采用国家工商行政管理局和建设部颁发的《建设工程施工合同（示范文本）》（GF-2017-0201）的“合同通用条款”。</w:t>
      </w:r>
    </w:p>
    <w:p w14:paraId="2FDCCF08">
      <w:pPr>
        <w:pStyle w:val="7"/>
        <w:pageBreakBefore w:val="0"/>
        <w:kinsoku/>
        <w:overflowPunct/>
        <w:topLinePunct w:val="0"/>
        <w:bidi w:val="0"/>
        <w:snapToGrid/>
        <w:spacing w:line="560" w:lineRule="exact"/>
        <w:ind w:right="48" w:rightChars="23" w:firstLine="3654" w:firstLineChars="1300"/>
        <w:rPr>
          <w:rFonts w:hint="eastAsia" w:ascii="宋体" w:hAnsi="宋体" w:eastAsia="宋体" w:cs="宋体"/>
          <w:b/>
          <w:color w:val="auto"/>
          <w:sz w:val="28"/>
          <w:szCs w:val="28"/>
          <w:highlight w:val="none"/>
        </w:rPr>
      </w:pPr>
      <w:bookmarkStart w:id="109" w:name="第三部分 专用合同条款"/>
      <w:bookmarkEnd w:id="109"/>
      <w:r>
        <w:rPr>
          <w:rFonts w:hint="eastAsia" w:ascii="宋体" w:hAnsi="宋体" w:eastAsia="宋体" w:cs="宋体"/>
          <w:color w:val="auto"/>
          <w:sz w:val="28"/>
          <w:szCs w:val="28"/>
          <w:highlight w:val="none"/>
        </w:rPr>
        <w:t>第三部分 专用合同条款</w:t>
      </w:r>
    </w:p>
    <w:p w14:paraId="6F06B820">
      <w:pPr>
        <w:keepNext w:val="0"/>
        <w:keepLines w:val="0"/>
        <w:pageBreakBefore w:val="0"/>
        <w:widowControl w:val="0"/>
        <w:numPr>
          <w:ilvl w:val="0"/>
          <w:numId w:val="7"/>
        </w:numPr>
        <w:tabs>
          <w:tab w:val="left" w:pos="667"/>
        </w:tabs>
        <w:kinsoku/>
        <w:wordWrap/>
        <w:overflowPunct/>
        <w:topLinePunct w:val="0"/>
        <w:bidi w:val="0"/>
        <w:snapToGrid/>
        <w:spacing w:before="0" w:line="560" w:lineRule="exact"/>
        <w:ind w:left="666" w:right="48" w:rightChars="23" w:hanging="335"/>
        <w:jc w:val="left"/>
        <w:textAlignment w:val="auto"/>
        <w:rPr>
          <w:rFonts w:hint="eastAsia" w:ascii="宋体" w:hAnsi="宋体" w:eastAsia="宋体" w:cs="宋体"/>
          <w:b/>
          <w:color w:val="auto"/>
          <w:sz w:val="28"/>
          <w:szCs w:val="28"/>
          <w:highlight w:val="none"/>
        </w:rPr>
      </w:pPr>
      <w:bookmarkStart w:id="110" w:name="1. 一般约定"/>
      <w:bookmarkEnd w:id="110"/>
      <w:bookmarkStart w:id="111" w:name="1. 一般约定"/>
      <w:bookmarkEnd w:id="111"/>
      <w:r>
        <w:rPr>
          <w:rFonts w:hint="eastAsia" w:ascii="宋体" w:hAnsi="宋体" w:eastAsia="宋体" w:cs="宋体"/>
          <w:b/>
          <w:color w:val="auto"/>
          <w:sz w:val="28"/>
          <w:szCs w:val="28"/>
          <w:highlight w:val="none"/>
        </w:rPr>
        <w:t>一般约定</w:t>
      </w:r>
    </w:p>
    <w:p w14:paraId="09D7488B">
      <w:pPr>
        <w:keepNext w:val="0"/>
        <w:keepLines w:val="0"/>
        <w:pageBreakBefore w:val="0"/>
        <w:widowControl w:val="0"/>
        <w:numPr>
          <w:ilvl w:val="1"/>
          <w:numId w:val="7"/>
        </w:numPr>
        <w:tabs>
          <w:tab w:val="left" w:pos="777"/>
        </w:tabs>
        <w:kinsoku/>
        <w:wordWrap/>
        <w:overflowPunct/>
        <w:topLinePunct w:val="0"/>
        <w:bidi w:val="0"/>
        <w:snapToGrid/>
        <w:spacing w:before="0" w:line="560" w:lineRule="exact"/>
        <w:ind w:left="776" w:right="48" w:rightChars="23" w:hanging="445"/>
        <w:jc w:val="left"/>
        <w:textAlignment w:val="auto"/>
        <w:rPr>
          <w:rFonts w:hint="eastAsia" w:ascii="宋体" w:hAnsi="宋体" w:eastAsia="宋体" w:cs="宋体"/>
          <w:b/>
          <w:color w:val="auto"/>
          <w:sz w:val="28"/>
          <w:szCs w:val="28"/>
          <w:highlight w:val="none"/>
        </w:rPr>
      </w:pPr>
      <w:bookmarkStart w:id="112" w:name="1.1 词语定义"/>
      <w:bookmarkEnd w:id="112"/>
      <w:bookmarkStart w:id="113" w:name="1.1 词语定义"/>
      <w:bookmarkEnd w:id="113"/>
      <w:r>
        <w:rPr>
          <w:rFonts w:hint="eastAsia" w:ascii="宋体" w:hAnsi="宋体" w:eastAsia="宋体" w:cs="宋体"/>
          <w:b/>
          <w:color w:val="auto"/>
          <w:spacing w:val="-1"/>
          <w:sz w:val="28"/>
          <w:szCs w:val="28"/>
          <w:highlight w:val="none"/>
        </w:rPr>
        <w:t>词语定义</w:t>
      </w:r>
    </w:p>
    <w:p w14:paraId="01AE4A22">
      <w:pPr>
        <w:pStyle w:val="196"/>
        <w:keepNext w:val="0"/>
        <w:keepLines w:val="0"/>
        <w:pageBreakBefore w:val="0"/>
        <w:widowControl w:val="0"/>
        <w:numPr>
          <w:ilvl w:val="0"/>
          <w:numId w:val="0"/>
        </w:numPr>
        <w:tabs>
          <w:tab w:val="left" w:pos="993"/>
        </w:tabs>
        <w:kinsoku/>
        <w:wordWrap/>
        <w:overflowPunct/>
        <w:topLinePunct w:val="0"/>
        <w:bidi w:val="0"/>
        <w:snapToGrid/>
        <w:spacing w:before="0" w:after="0" w:line="56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lang w:val="en-US" w:eastAsia="zh-CN"/>
        </w:rPr>
        <w:t>1.1.1</w:t>
      </w:r>
      <w:r>
        <w:rPr>
          <w:rFonts w:hint="eastAsia" w:ascii="宋体" w:hAnsi="宋体" w:eastAsia="宋体" w:cs="宋体"/>
          <w:color w:val="auto"/>
          <w:spacing w:val="-1"/>
          <w:sz w:val="28"/>
          <w:szCs w:val="28"/>
          <w:highlight w:val="none"/>
        </w:rPr>
        <w:t>合同</w:t>
      </w:r>
    </w:p>
    <w:p w14:paraId="73F35D56">
      <w:pPr>
        <w:pStyle w:val="19"/>
        <w:keepNext w:val="0"/>
        <w:keepLines w:val="0"/>
        <w:pageBreakBefore w:val="0"/>
        <w:widowControl w:val="0"/>
        <w:tabs>
          <w:tab w:val="left" w:pos="85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1.1.1.10</w:t>
      </w:r>
      <w:r>
        <w:rPr>
          <w:rFonts w:hint="eastAsia" w:ascii="宋体" w:hAnsi="宋体" w:eastAsia="宋体" w:cs="宋体"/>
          <w:color w:val="auto"/>
          <w:spacing w:val="-1"/>
          <w:sz w:val="28"/>
          <w:szCs w:val="28"/>
          <w:highlight w:val="none"/>
        </w:rPr>
        <w:t xml:space="preserve"> </w:t>
      </w:r>
      <w:r>
        <w:rPr>
          <w:rFonts w:hint="eastAsia" w:ascii="宋体" w:hAnsi="宋体" w:eastAsia="宋体" w:cs="宋体"/>
          <w:color w:val="auto"/>
          <w:sz w:val="28"/>
          <w:szCs w:val="28"/>
          <w:highlight w:val="none"/>
        </w:rPr>
        <w:t>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合同</w:t>
      </w:r>
      <w:r>
        <w:rPr>
          <w:rFonts w:hint="eastAsia" w:ascii="宋体" w:hAnsi="宋体" w:eastAsia="宋体" w:cs="宋体"/>
          <w:color w:val="auto"/>
          <w:spacing w:val="-3"/>
          <w:sz w:val="28"/>
          <w:szCs w:val="28"/>
          <w:highlight w:val="none"/>
        </w:rPr>
        <w:t>文</w:t>
      </w:r>
      <w:r>
        <w:rPr>
          <w:rFonts w:hint="eastAsia" w:ascii="宋体" w:hAnsi="宋体" w:eastAsia="宋体" w:cs="宋体"/>
          <w:color w:val="auto"/>
          <w:sz w:val="28"/>
          <w:szCs w:val="28"/>
          <w:highlight w:val="none"/>
        </w:rPr>
        <w:t>件包</w:t>
      </w:r>
      <w:r>
        <w:rPr>
          <w:rFonts w:hint="eastAsia" w:ascii="宋体" w:hAnsi="宋体" w:eastAsia="宋体" w:cs="宋体"/>
          <w:color w:val="auto"/>
          <w:spacing w:val="-3"/>
          <w:sz w:val="28"/>
          <w:szCs w:val="28"/>
          <w:highlight w:val="none"/>
        </w:rPr>
        <w:t>括</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安全生产合同、廉政合同</w:t>
      </w:r>
      <w:r>
        <w:rPr>
          <w:rFonts w:hint="eastAsia" w:ascii="宋体" w:hAnsi="宋体" w:eastAsia="宋体" w:cs="宋体"/>
          <w:color w:val="auto"/>
          <w:sz w:val="28"/>
          <w:szCs w:val="28"/>
          <w:highlight w:val="none"/>
          <w:u w:val="single"/>
        </w:rPr>
        <w:t>。</w:t>
      </w:r>
    </w:p>
    <w:p w14:paraId="2CBD6015">
      <w:pPr>
        <w:pStyle w:val="196"/>
        <w:keepNext w:val="0"/>
        <w:keepLines w:val="0"/>
        <w:pageBreakBefore w:val="0"/>
        <w:widowControl w:val="0"/>
        <w:numPr>
          <w:ilvl w:val="0"/>
          <w:numId w:val="0"/>
        </w:numPr>
        <w:tabs>
          <w:tab w:val="left" w:pos="993"/>
        </w:tabs>
        <w:kinsoku/>
        <w:wordWrap/>
        <w:overflowPunct/>
        <w:topLinePunct w:val="0"/>
        <w:bidi w:val="0"/>
        <w:snapToGrid/>
        <w:spacing w:before="70" w:after="0" w:line="560" w:lineRule="exact"/>
        <w:ind w:right="48" w:rightChars="23" w:firstLine="548"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1.1.2</w:t>
      </w:r>
      <w:r>
        <w:rPr>
          <w:rFonts w:hint="eastAsia" w:ascii="宋体" w:hAnsi="宋体" w:eastAsia="宋体" w:cs="宋体"/>
          <w:color w:val="auto"/>
          <w:spacing w:val="-3"/>
          <w:sz w:val="28"/>
          <w:szCs w:val="28"/>
          <w:highlight w:val="none"/>
        </w:rPr>
        <w:t>合同当事人及其他相关方</w:t>
      </w:r>
    </w:p>
    <w:p w14:paraId="777DA167">
      <w:pPr>
        <w:pStyle w:val="196"/>
        <w:keepNext w:val="0"/>
        <w:keepLines w:val="0"/>
        <w:pageBreakBefore w:val="0"/>
        <w:widowControl w:val="0"/>
        <w:numPr>
          <w:ilvl w:val="0"/>
          <w:numId w:val="0"/>
        </w:numPr>
        <w:tabs>
          <w:tab w:val="left" w:pos="1214"/>
        </w:tabs>
        <w:kinsoku/>
        <w:wordWrap/>
        <w:overflowPunct/>
        <w:topLinePunct w:val="0"/>
        <w:bidi w:val="0"/>
        <w:snapToGrid/>
        <w:spacing w:before="1" w:after="0" w:line="56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1.1.2.4</w:t>
      </w:r>
      <w:r>
        <w:rPr>
          <w:rFonts w:hint="eastAsia" w:ascii="宋体" w:hAnsi="宋体" w:eastAsia="宋体" w:cs="宋体"/>
          <w:color w:val="auto"/>
          <w:spacing w:val="-2"/>
          <w:sz w:val="28"/>
          <w:szCs w:val="28"/>
          <w:highlight w:val="none"/>
        </w:rPr>
        <w:t>监理人：</w:t>
      </w:r>
    </w:p>
    <w:p w14:paraId="2AABA09F">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名</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称：</w:t>
      </w:r>
    </w:p>
    <w:p w14:paraId="75BFEE70">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w:t>
      </w:r>
      <w:r>
        <w:rPr>
          <w:rFonts w:hint="eastAsia" w:ascii="宋体" w:hAnsi="宋体" w:eastAsia="宋体" w:cs="宋体"/>
          <w:color w:val="auto"/>
          <w:spacing w:val="-3"/>
          <w:sz w:val="28"/>
          <w:szCs w:val="28"/>
          <w:highlight w:val="none"/>
        </w:rPr>
        <w:t>质</w:t>
      </w:r>
      <w:r>
        <w:rPr>
          <w:rFonts w:hint="eastAsia" w:ascii="宋体" w:hAnsi="宋体" w:eastAsia="宋体" w:cs="宋体"/>
          <w:color w:val="auto"/>
          <w:sz w:val="28"/>
          <w:szCs w:val="28"/>
          <w:highlight w:val="none"/>
        </w:rPr>
        <w:t>类别</w:t>
      </w:r>
      <w:r>
        <w:rPr>
          <w:rFonts w:hint="eastAsia" w:ascii="宋体" w:hAnsi="宋体" w:eastAsia="宋体" w:cs="宋体"/>
          <w:color w:val="auto"/>
          <w:spacing w:val="-3"/>
          <w:sz w:val="28"/>
          <w:szCs w:val="28"/>
          <w:highlight w:val="none"/>
        </w:rPr>
        <w:t>和</w:t>
      </w:r>
      <w:r>
        <w:rPr>
          <w:rFonts w:hint="eastAsia" w:ascii="宋体" w:hAnsi="宋体" w:eastAsia="宋体" w:cs="宋体"/>
          <w:color w:val="auto"/>
          <w:sz w:val="28"/>
          <w:szCs w:val="28"/>
          <w:highlight w:val="none"/>
        </w:rPr>
        <w:t>等级：</w:t>
      </w:r>
    </w:p>
    <w:p w14:paraId="0C177660">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w:t>
      </w:r>
      <w:r>
        <w:rPr>
          <w:rFonts w:hint="eastAsia" w:ascii="宋体" w:hAnsi="宋体" w:eastAsia="宋体" w:cs="宋体"/>
          <w:color w:val="auto"/>
          <w:spacing w:val="-3"/>
          <w:sz w:val="28"/>
          <w:szCs w:val="28"/>
          <w:highlight w:val="none"/>
        </w:rPr>
        <w:t>系</w:t>
      </w:r>
      <w:r>
        <w:rPr>
          <w:rFonts w:hint="eastAsia" w:ascii="宋体" w:hAnsi="宋体" w:eastAsia="宋体" w:cs="宋体"/>
          <w:color w:val="auto"/>
          <w:sz w:val="28"/>
          <w:szCs w:val="28"/>
          <w:highlight w:val="none"/>
        </w:rPr>
        <w:t>电话：</w:t>
      </w:r>
    </w:p>
    <w:p w14:paraId="0C265748">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w:t>
      </w:r>
      <w:r>
        <w:rPr>
          <w:rFonts w:hint="eastAsia" w:ascii="宋体" w:hAnsi="宋体" w:eastAsia="宋体" w:cs="宋体"/>
          <w:color w:val="auto"/>
          <w:spacing w:val="-3"/>
          <w:sz w:val="28"/>
          <w:szCs w:val="28"/>
          <w:highlight w:val="none"/>
        </w:rPr>
        <w:t>子</w:t>
      </w:r>
      <w:r>
        <w:rPr>
          <w:rFonts w:hint="eastAsia" w:ascii="宋体" w:hAnsi="宋体" w:eastAsia="宋体" w:cs="宋体"/>
          <w:color w:val="auto"/>
          <w:sz w:val="28"/>
          <w:szCs w:val="28"/>
          <w:highlight w:val="none"/>
        </w:rPr>
        <w:t>信箱：</w:t>
      </w:r>
    </w:p>
    <w:p w14:paraId="77D3D8C8">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通</w:t>
      </w:r>
      <w:r>
        <w:rPr>
          <w:rFonts w:hint="eastAsia" w:ascii="宋体" w:hAnsi="宋体" w:eastAsia="宋体" w:cs="宋体"/>
          <w:color w:val="auto"/>
          <w:spacing w:val="-3"/>
          <w:sz w:val="28"/>
          <w:szCs w:val="28"/>
          <w:highlight w:val="none"/>
        </w:rPr>
        <w:t>信</w:t>
      </w:r>
      <w:r>
        <w:rPr>
          <w:rFonts w:hint="eastAsia" w:ascii="宋体" w:hAnsi="宋体" w:eastAsia="宋体" w:cs="宋体"/>
          <w:color w:val="auto"/>
          <w:sz w:val="28"/>
          <w:szCs w:val="28"/>
          <w:highlight w:val="none"/>
        </w:rPr>
        <w:t>地址：</w:t>
      </w:r>
    </w:p>
    <w:p w14:paraId="0B70338F">
      <w:pPr>
        <w:pStyle w:val="196"/>
        <w:keepNext w:val="0"/>
        <w:keepLines w:val="0"/>
        <w:pageBreakBefore w:val="0"/>
        <w:widowControl w:val="0"/>
        <w:numPr>
          <w:ilvl w:val="0"/>
          <w:numId w:val="0"/>
        </w:numPr>
        <w:tabs>
          <w:tab w:val="left" w:pos="1214"/>
        </w:tabs>
        <w:kinsoku/>
        <w:wordWrap/>
        <w:overflowPunct/>
        <w:topLinePunct w:val="0"/>
        <w:bidi w:val="0"/>
        <w:snapToGrid/>
        <w:spacing w:before="0" w:after="0" w:line="56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1.1.2.5</w:t>
      </w:r>
      <w:r>
        <w:rPr>
          <w:rFonts w:hint="eastAsia" w:ascii="宋体" w:hAnsi="宋体" w:eastAsia="宋体" w:cs="宋体"/>
          <w:color w:val="auto"/>
          <w:spacing w:val="-2"/>
          <w:sz w:val="28"/>
          <w:szCs w:val="28"/>
          <w:highlight w:val="none"/>
        </w:rPr>
        <w:t>设计人：</w:t>
      </w:r>
    </w:p>
    <w:p w14:paraId="17109F42">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名</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称：</w:t>
      </w:r>
    </w:p>
    <w:p w14:paraId="17654DD2">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w:t>
      </w:r>
      <w:r>
        <w:rPr>
          <w:rFonts w:hint="eastAsia" w:ascii="宋体" w:hAnsi="宋体" w:eastAsia="宋体" w:cs="宋体"/>
          <w:color w:val="auto"/>
          <w:spacing w:val="-3"/>
          <w:sz w:val="28"/>
          <w:szCs w:val="28"/>
          <w:highlight w:val="none"/>
        </w:rPr>
        <w:t>质</w:t>
      </w:r>
      <w:r>
        <w:rPr>
          <w:rFonts w:hint="eastAsia" w:ascii="宋体" w:hAnsi="宋体" w:eastAsia="宋体" w:cs="宋体"/>
          <w:color w:val="auto"/>
          <w:sz w:val="28"/>
          <w:szCs w:val="28"/>
          <w:highlight w:val="none"/>
        </w:rPr>
        <w:t>类别</w:t>
      </w:r>
      <w:r>
        <w:rPr>
          <w:rFonts w:hint="eastAsia" w:ascii="宋体" w:hAnsi="宋体" w:eastAsia="宋体" w:cs="宋体"/>
          <w:color w:val="auto"/>
          <w:spacing w:val="-3"/>
          <w:sz w:val="28"/>
          <w:szCs w:val="28"/>
          <w:highlight w:val="none"/>
        </w:rPr>
        <w:t>和</w:t>
      </w:r>
      <w:r>
        <w:rPr>
          <w:rFonts w:hint="eastAsia" w:ascii="宋体" w:hAnsi="宋体" w:eastAsia="宋体" w:cs="宋体"/>
          <w:color w:val="auto"/>
          <w:sz w:val="28"/>
          <w:szCs w:val="28"/>
          <w:highlight w:val="none"/>
        </w:rPr>
        <w:t>等级：</w:t>
      </w:r>
    </w:p>
    <w:p w14:paraId="122621E4">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w:t>
      </w:r>
      <w:r>
        <w:rPr>
          <w:rFonts w:hint="eastAsia" w:ascii="宋体" w:hAnsi="宋体" w:eastAsia="宋体" w:cs="宋体"/>
          <w:color w:val="auto"/>
          <w:spacing w:val="-3"/>
          <w:sz w:val="28"/>
          <w:szCs w:val="28"/>
          <w:highlight w:val="none"/>
        </w:rPr>
        <w:t>系</w:t>
      </w:r>
      <w:r>
        <w:rPr>
          <w:rFonts w:hint="eastAsia" w:ascii="宋体" w:hAnsi="宋体" w:eastAsia="宋体" w:cs="宋体"/>
          <w:color w:val="auto"/>
          <w:sz w:val="28"/>
          <w:szCs w:val="28"/>
          <w:highlight w:val="none"/>
        </w:rPr>
        <w:t>电话：</w:t>
      </w:r>
    </w:p>
    <w:p w14:paraId="5B9F87BF">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7"/>
          <w:sz w:val="28"/>
          <w:szCs w:val="28"/>
          <w:highlight w:val="none"/>
        </w:rPr>
        <w:t xml:space="preserve"> </w:t>
      </w:r>
      <w:r>
        <w:rPr>
          <w:rFonts w:hint="eastAsia" w:ascii="宋体" w:hAnsi="宋体" w:eastAsia="宋体" w:cs="宋体"/>
          <w:color w:val="auto"/>
          <w:sz w:val="28"/>
          <w:szCs w:val="28"/>
          <w:highlight w:val="none"/>
        </w:rPr>
        <w:t>电</w:t>
      </w:r>
      <w:r>
        <w:rPr>
          <w:rFonts w:hint="eastAsia" w:ascii="宋体" w:hAnsi="宋体" w:eastAsia="宋体" w:cs="宋体"/>
          <w:color w:val="auto"/>
          <w:spacing w:val="-3"/>
          <w:sz w:val="28"/>
          <w:szCs w:val="28"/>
          <w:highlight w:val="none"/>
        </w:rPr>
        <w:t>子</w:t>
      </w:r>
      <w:r>
        <w:rPr>
          <w:rFonts w:hint="eastAsia" w:ascii="宋体" w:hAnsi="宋体" w:eastAsia="宋体" w:cs="宋体"/>
          <w:color w:val="auto"/>
          <w:sz w:val="28"/>
          <w:szCs w:val="28"/>
          <w:highlight w:val="none"/>
        </w:rPr>
        <w:t>信箱：</w:t>
      </w:r>
    </w:p>
    <w:p w14:paraId="1F5CF3BC">
      <w:pPr>
        <w:pStyle w:val="19"/>
        <w:keepNext w:val="0"/>
        <w:keepLines w:val="0"/>
        <w:pageBreakBefore w:val="0"/>
        <w:widowControl w:val="0"/>
        <w:tabs>
          <w:tab w:val="left" w:pos="992"/>
          <w:tab w:val="left" w:pos="6272"/>
          <w:tab w:val="left" w:pos="6383"/>
        </w:tabs>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通</w:t>
      </w:r>
      <w:r>
        <w:rPr>
          <w:rFonts w:hint="eastAsia" w:ascii="宋体" w:hAnsi="宋体" w:eastAsia="宋体" w:cs="宋体"/>
          <w:color w:val="auto"/>
          <w:spacing w:val="-3"/>
          <w:sz w:val="28"/>
          <w:szCs w:val="28"/>
          <w:highlight w:val="none"/>
        </w:rPr>
        <w:t>信</w:t>
      </w:r>
      <w:r>
        <w:rPr>
          <w:rFonts w:hint="eastAsia" w:ascii="宋体" w:hAnsi="宋体" w:eastAsia="宋体" w:cs="宋体"/>
          <w:color w:val="auto"/>
          <w:sz w:val="28"/>
          <w:szCs w:val="28"/>
          <w:highlight w:val="none"/>
        </w:rPr>
        <w:t>地址：</w:t>
      </w:r>
    </w:p>
    <w:p w14:paraId="0B7E6DD6">
      <w:pPr>
        <w:pStyle w:val="196"/>
        <w:keepNext w:val="0"/>
        <w:keepLines w:val="0"/>
        <w:pageBreakBefore w:val="0"/>
        <w:widowControl w:val="0"/>
        <w:numPr>
          <w:ilvl w:val="0"/>
          <w:numId w:val="0"/>
        </w:numPr>
        <w:tabs>
          <w:tab w:val="left" w:pos="993"/>
        </w:tabs>
        <w:kinsoku/>
        <w:wordWrap/>
        <w:overflowPunct/>
        <w:topLinePunct w:val="0"/>
        <w:bidi w:val="0"/>
        <w:snapToGrid/>
        <w:spacing w:before="0" w:after="0" w:line="56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1.1.3</w:t>
      </w:r>
      <w:r>
        <w:rPr>
          <w:rFonts w:hint="eastAsia" w:ascii="宋体" w:hAnsi="宋体" w:eastAsia="宋体" w:cs="宋体"/>
          <w:color w:val="auto"/>
          <w:spacing w:val="-2"/>
          <w:sz w:val="28"/>
          <w:szCs w:val="28"/>
          <w:highlight w:val="none"/>
        </w:rPr>
        <w:t>工程和设备</w:t>
      </w:r>
    </w:p>
    <w:p w14:paraId="7B0D7F0C">
      <w:pPr>
        <w:pStyle w:val="19"/>
        <w:keepNext w:val="0"/>
        <w:keepLines w:val="0"/>
        <w:pageBreakBefore w:val="0"/>
        <w:widowControl w:val="0"/>
        <w:kinsoku/>
        <w:wordWrap/>
        <w:overflowPunct/>
        <w:topLinePunct w:val="0"/>
        <w:bidi w:val="0"/>
        <w:snapToGrid/>
        <w:spacing w:line="56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1.1.3.</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 xml:space="preserve"> 作为施工现场组成部分的其他场所包括：</w:t>
      </w:r>
    </w:p>
    <w:p w14:paraId="45A75EC0">
      <w:pPr>
        <w:pStyle w:val="196"/>
        <w:keepNext w:val="0"/>
        <w:keepLines w:val="0"/>
        <w:pageBreakBefore w:val="0"/>
        <w:widowControl w:val="0"/>
        <w:numPr>
          <w:ilvl w:val="0"/>
          <w:numId w:val="0"/>
        </w:numPr>
        <w:tabs>
          <w:tab w:val="left" w:pos="1214"/>
          <w:tab w:val="left" w:pos="6493"/>
        </w:tabs>
        <w:kinsoku/>
        <w:wordWrap/>
        <w:overflowPunct/>
        <w:topLinePunct w:val="0"/>
        <w:bidi w:val="0"/>
        <w:snapToGrid/>
        <w:spacing w:before="0" w:after="0" w:line="560" w:lineRule="exact"/>
        <w:ind w:left="331" w:leftChars="0" w:right="48" w:rightChars="23"/>
        <w:jc w:val="left"/>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1.1.3.</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永</w:t>
      </w:r>
      <w:r>
        <w:rPr>
          <w:rFonts w:hint="eastAsia" w:ascii="宋体" w:hAnsi="宋体" w:eastAsia="宋体" w:cs="宋体"/>
          <w:color w:val="auto"/>
          <w:spacing w:val="-3"/>
          <w:sz w:val="28"/>
          <w:szCs w:val="28"/>
          <w:highlight w:val="none"/>
        </w:rPr>
        <w:t>久</w:t>
      </w:r>
      <w:r>
        <w:rPr>
          <w:rFonts w:hint="eastAsia" w:ascii="宋体" w:hAnsi="宋体" w:eastAsia="宋体" w:cs="宋体"/>
          <w:color w:val="auto"/>
          <w:sz w:val="28"/>
          <w:szCs w:val="28"/>
          <w:highlight w:val="none"/>
        </w:rPr>
        <w:t>占地</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括：</w:t>
      </w:r>
      <w:r>
        <w:rPr>
          <w:rFonts w:hint="eastAsia" w:ascii="宋体" w:hAnsi="宋体" w:eastAsia="宋体" w:cs="宋体"/>
          <w:color w:val="auto"/>
          <w:sz w:val="28"/>
          <w:szCs w:val="28"/>
          <w:highlight w:val="none"/>
          <w:u w:val="single"/>
          <w:lang w:val="en-US" w:eastAsia="zh-CN"/>
        </w:rPr>
        <w:t>/</w:t>
      </w:r>
    </w:p>
    <w:p w14:paraId="41AD3749">
      <w:pPr>
        <w:pStyle w:val="196"/>
        <w:keepNext w:val="0"/>
        <w:keepLines w:val="0"/>
        <w:pageBreakBefore w:val="0"/>
        <w:widowControl w:val="0"/>
        <w:numPr>
          <w:ilvl w:val="0"/>
          <w:numId w:val="0"/>
        </w:numPr>
        <w:tabs>
          <w:tab w:val="left" w:pos="1214"/>
          <w:tab w:val="left" w:pos="6493"/>
        </w:tabs>
        <w:kinsoku/>
        <w:wordWrap/>
        <w:overflowPunct/>
        <w:topLinePunct w:val="0"/>
        <w:bidi w:val="0"/>
        <w:snapToGrid/>
        <w:spacing w:before="0" w:after="0" w:line="560" w:lineRule="exact"/>
        <w:ind w:left="331" w:leftChars="0" w:right="48" w:rightChars="23"/>
        <w:jc w:val="left"/>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1.1.3.</w:t>
      </w:r>
      <w:r>
        <w:rPr>
          <w:rFonts w:hint="eastAsia" w:ascii="宋体" w:hAnsi="宋体" w:eastAsia="宋体" w:cs="宋体"/>
          <w:color w:val="auto"/>
          <w:sz w:val="28"/>
          <w:szCs w:val="28"/>
          <w:highlight w:val="none"/>
          <w:lang w:val="en-US" w:eastAsia="zh-CN"/>
        </w:rPr>
        <w:t>9</w:t>
      </w:r>
      <w:r>
        <w:rPr>
          <w:rFonts w:hint="eastAsia" w:ascii="宋体" w:hAnsi="宋体" w:eastAsia="宋体" w:cs="宋体"/>
          <w:color w:val="auto"/>
          <w:sz w:val="28"/>
          <w:szCs w:val="28"/>
          <w:highlight w:val="none"/>
        </w:rPr>
        <w:t>临</w:t>
      </w:r>
      <w:r>
        <w:rPr>
          <w:rFonts w:hint="eastAsia" w:ascii="宋体" w:hAnsi="宋体" w:eastAsia="宋体" w:cs="宋体"/>
          <w:color w:val="auto"/>
          <w:spacing w:val="-3"/>
          <w:sz w:val="28"/>
          <w:szCs w:val="28"/>
          <w:highlight w:val="none"/>
        </w:rPr>
        <w:t>时</w:t>
      </w:r>
      <w:r>
        <w:rPr>
          <w:rFonts w:hint="eastAsia" w:ascii="宋体" w:hAnsi="宋体" w:eastAsia="宋体" w:cs="宋体"/>
          <w:color w:val="auto"/>
          <w:sz w:val="28"/>
          <w:szCs w:val="28"/>
          <w:highlight w:val="none"/>
        </w:rPr>
        <w:t>占地</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括：</w:t>
      </w:r>
      <w:r>
        <w:rPr>
          <w:rFonts w:hint="eastAsia" w:ascii="宋体" w:hAnsi="宋体" w:eastAsia="宋体" w:cs="宋体"/>
          <w:color w:val="auto"/>
          <w:sz w:val="28"/>
          <w:szCs w:val="28"/>
          <w:highlight w:val="none"/>
          <w:u w:val="single"/>
          <w:lang w:val="en-US" w:eastAsia="zh-CN"/>
        </w:rPr>
        <w:t>/</w:t>
      </w:r>
    </w:p>
    <w:p w14:paraId="03D21C8C">
      <w:pPr>
        <w:pageBreakBefore w:val="0"/>
        <w:numPr>
          <w:ilvl w:val="0"/>
          <w:numId w:val="0"/>
        </w:numPr>
        <w:tabs>
          <w:tab w:val="left" w:pos="777"/>
        </w:tabs>
        <w:kinsoku/>
        <w:overflowPunct/>
        <w:topLinePunct w:val="0"/>
        <w:bidi w:val="0"/>
        <w:snapToGrid/>
        <w:spacing w:before="191" w:line="560" w:lineRule="exact"/>
        <w:ind w:right="48" w:rightChars="23" w:firstLine="281" w:firstLineChars="10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1.3</w:t>
      </w:r>
      <w:r>
        <w:rPr>
          <w:rFonts w:hint="eastAsia" w:ascii="宋体" w:hAnsi="宋体" w:eastAsia="宋体" w:cs="宋体"/>
          <w:b/>
          <w:color w:val="auto"/>
          <w:sz w:val="28"/>
          <w:szCs w:val="28"/>
          <w:highlight w:val="none"/>
        </w:rPr>
        <w:t>法律</w:t>
      </w:r>
    </w:p>
    <w:p w14:paraId="07208DD3">
      <w:pPr>
        <w:pStyle w:val="19"/>
        <w:pageBreakBefore w:val="0"/>
        <w:tabs>
          <w:tab w:val="left" w:pos="8638"/>
        </w:tabs>
        <w:kinsoku/>
        <w:overflowPunct/>
        <w:topLinePunct w:val="0"/>
        <w:bidi w:val="0"/>
        <w:snapToGrid/>
        <w:spacing w:line="560" w:lineRule="exact"/>
        <w:ind w:left="332" w:right="48" w:rightChars="23" w:firstLine="278" w:firstLineChars="100"/>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适</w:t>
      </w:r>
      <w:r>
        <w:rPr>
          <w:rFonts w:hint="eastAsia" w:ascii="宋体" w:hAnsi="宋体" w:eastAsia="宋体" w:cs="宋体"/>
          <w:color w:val="auto"/>
          <w:spacing w:val="-3"/>
          <w:sz w:val="28"/>
          <w:szCs w:val="28"/>
          <w:highlight w:val="none"/>
        </w:rPr>
        <w:t>用</w:t>
      </w:r>
      <w:r>
        <w:rPr>
          <w:rFonts w:hint="eastAsia" w:ascii="宋体" w:hAnsi="宋体" w:eastAsia="宋体" w:cs="宋体"/>
          <w:color w:val="auto"/>
          <w:spacing w:val="-1"/>
          <w:sz w:val="28"/>
          <w:szCs w:val="28"/>
          <w:highlight w:val="none"/>
        </w:rPr>
        <w:t>于合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pacing w:val="-1"/>
          <w:sz w:val="28"/>
          <w:szCs w:val="28"/>
          <w:highlight w:val="none"/>
        </w:rPr>
        <w:t>的其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pacing w:val="-1"/>
          <w:sz w:val="28"/>
          <w:szCs w:val="28"/>
          <w:highlight w:val="none"/>
        </w:rPr>
        <w:t>规范</w:t>
      </w:r>
      <w:r>
        <w:rPr>
          <w:rFonts w:hint="eastAsia" w:ascii="宋体" w:hAnsi="宋体" w:eastAsia="宋体" w:cs="宋体"/>
          <w:color w:val="auto"/>
          <w:spacing w:val="-3"/>
          <w:sz w:val="28"/>
          <w:szCs w:val="28"/>
          <w:highlight w:val="none"/>
        </w:rPr>
        <w:t>性</w:t>
      </w:r>
      <w:r>
        <w:rPr>
          <w:rFonts w:hint="eastAsia" w:ascii="宋体" w:hAnsi="宋体" w:eastAsia="宋体" w:cs="宋体"/>
          <w:color w:val="auto"/>
          <w:spacing w:val="-1"/>
          <w:sz w:val="28"/>
          <w:szCs w:val="28"/>
          <w:highlight w:val="none"/>
        </w:rPr>
        <w:t>文件：</w:t>
      </w:r>
      <w:r>
        <w:rPr>
          <w:rFonts w:hint="eastAsia" w:ascii="宋体" w:hAnsi="宋体" w:eastAsia="宋体" w:cs="宋体"/>
          <w:color w:val="auto"/>
          <w:sz w:val="28"/>
          <w:szCs w:val="28"/>
          <w:highlight w:val="none"/>
          <w:u w:val="single"/>
        </w:rPr>
        <w:t xml:space="preserve"> 现行的国家法律和行政法规，工程所在地政府的有关法规和规章。</w:t>
      </w:r>
    </w:p>
    <w:p w14:paraId="4AF6CF1E">
      <w:pPr>
        <w:pageBreakBefore w:val="0"/>
        <w:numPr>
          <w:ilvl w:val="0"/>
          <w:numId w:val="0"/>
        </w:numPr>
        <w:tabs>
          <w:tab w:val="left" w:pos="777"/>
        </w:tabs>
        <w:kinsoku/>
        <w:overflowPunct/>
        <w:topLinePunct w:val="0"/>
        <w:bidi w:val="0"/>
        <w:snapToGrid/>
        <w:spacing w:before="190" w:line="560" w:lineRule="exact"/>
        <w:ind w:left="331" w:leftChars="0" w:right="48" w:rightChars="23"/>
        <w:jc w:val="left"/>
        <w:rPr>
          <w:rFonts w:hint="eastAsia" w:ascii="宋体" w:hAnsi="宋体" w:eastAsia="宋体" w:cs="宋体"/>
          <w:b/>
          <w:color w:val="auto"/>
          <w:sz w:val="28"/>
          <w:szCs w:val="28"/>
          <w:highlight w:val="none"/>
        </w:rPr>
      </w:pPr>
      <w:bookmarkStart w:id="114" w:name="1.4 标准和规范"/>
      <w:bookmarkEnd w:id="114"/>
      <w:bookmarkStart w:id="115" w:name="1.4 标准和规范"/>
      <w:bookmarkEnd w:id="115"/>
      <w:r>
        <w:rPr>
          <w:rFonts w:hint="eastAsia" w:ascii="宋体" w:hAnsi="宋体" w:eastAsia="宋体" w:cs="宋体"/>
          <w:b/>
          <w:color w:val="auto"/>
          <w:sz w:val="28"/>
          <w:szCs w:val="28"/>
          <w:highlight w:val="none"/>
          <w:lang w:val="en-US" w:eastAsia="zh-CN"/>
        </w:rPr>
        <w:t>1.4</w:t>
      </w:r>
      <w:r>
        <w:rPr>
          <w:rFonts w:hint="eastAsia" w:ascii="宋体" w:hAnsi="宋体" w:eastAsia="宋体" w:cs="宋体"/>
          <w:b/>
          <w:color w:val="auto"/>
          <w:sz w:val="28"/>
          <w:szCs w:val="28"/>
          <w:highlight w:val="none"/>
        </w:rPr>
        <w:t>标准和规范</w:t>
      </w:r>
    </w:p>
    <w:p w14:paraId="5261F881">
      <w:pPr>
        <w:pStyle w:val="196"/>
        <w:pageBreakBefore w:val="0"/>
        <w:numPr>
          <w:ilvl w:val="0"/>
          <w:numId w:val="0"/>
        </w:numPr>
        <w:tabs>
          <w:tab w:val="left" w:pos="993"/>
          <w:tab w:val="left" w:pos="9077"/>
        </w:tabs>
        <w:kinsoku/>
        <w:overflowPunct/>
        <w:topLinePunct w:val="0"/>
        <w:bidi w:val="0"/>
        <w:snapToGrid/>
        <w:spacing w:before="1"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lang w:val="en-US" w:eastAsia="zh-CN"/>
        </w:rPr>
        <w:t>1.4.1</w:t>
      </w:r>
      <w:r>
        <w:rPr>
          <w:rFonts w:hint="eastAsia" w:ascii="宋体" w:hAnsi="宋体" w:eastAsia="宋体" w:cs="宋体"/>
          <w:color w:val="auto"/>
          <w:spacing w:val="-1"/>
          <w:sz w:val="28"/>
          <w:szCs w:val="28"/>
          <w:highlight w:val="none"/>
        </w:rPr>
        <w:t>适</w:t>
      </w:r>
      <w:r>
        <w:rPr>
          <w:rFonts w:hint="eastAsia" w:ascii="宋体" w:hAnsi="宋体" w:eastAsia="宋体" w:cs="宋体"/>
          <w:color w:val="auto"/>
          <w:spacing w:val="-3"/>
          <w:sz w:val="28"/>
          <w:szCs w:val="28"/>
          <w:highlight w:val="none"/>
        </w:rPr>
        <w:t>用</w:t>
      </w:r>
      <w:r>
        <w:rPr>
          <w:rFonts w:hint="eastAsia" w:ascii="宋体" w:hAnsi="宋体" w:eastAsia="宋体" w:cs="宋体"/>
          <w:color w:val="auto"/>
          <w:spacing w:val="-1"/>
          <w:sz w:val="28"/>
          <w:szCs w:val="28"/>
          <w:highlight w:val="none"/>
        </w:rPr>
        <w:t>于工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pacing w:val="-1"/>
          <w:sz w:val="28"/>
          <w:szCs w:val="28"/>
          <w:highlight w:val="none"/>
        </w:rPr>
        <w:t>的标</w:t>
      </w:r>
      <w:r>
        <w:rPr>
          <w:rFonts w:hint="eastAsia" w:ascii="宋体" w:hAnsi="宋体" w:eastAsia="宋体" w:cs="宋体"/>
          <w:color w:val="auto"/>
          <w:spacing w:val="-3"/>
          <w:sz w:val="28"/>
          <w:szCs w:val="28"/>
          <w:highlight w:val="none"/>
        </w:rPr>
        <w:t>准</w:t>
      </w:r>
      <w:r>
        <w:rPr>
          <w:rFonts w:hint="eastAsia" w:ascii="宋体" w:hAnsi="宋体" w:eastAsia="宋体" w:cs="宋体"/>
          <w:color w:val="auto"/>
          <w:spacing w:val="-1"/>
          <w:sz w:val="28"/>
          <w:szCs w:val="28"/>
          <w:highlight w:val="none"/>
        </w:rPr>
        <w:t>规范</w:t>
      </w:r>
      <w:r>
        <w:rPr>
          <w:rFonts w:hint="eastAsia" w:ascii="宋体" w:hAnsi="宋体" w:eastAsia="宋体" w:cs="宋体"/>
          <w:color w:val="auto"/>
          <w:spacing w:val="-3"/>
          <w:sz w:val="28"/>
          <w:szCs w:val="28"/>
          <w:highlight w:val="none"/>
        </w:rPr>
        <w:t>包</w:t>
      </w:r>
      <w:r>
        <w:rPr>
          <w:rFonts w:hint="eastAsia" w:ascii="宋体" w:hAnsi="宋体" w:eastAsia="宋体" w:cs="宋体"/>
          <w:color w:val="auto"/>
          <w:spacing w:val="-1"/>
          <w:sz w:val="28"/>
          <w:szCs w:val="28"/>
          <w:highlight w:val="none"/>
        </w:rPr>
        <w:t>括：</w:t>
      </w:r>
      <w:r>
        <w:rPr>
          <w:rFonts w:hint="eastAsia" w:ascii="宋体" w:hAnsi="宋体" w:eastAsia="宋体" w:cs="宋体"/>
          <w:color w:val="auto"/>
          <w:sz w:val="28"/>
          <w:szCs w:val="28"/>
          <w:highlight w:val="none"/>
          <w:u w:val="single"/>
        </w:rPr>
        <w:t xml:space="preserve"> 现行的国家法律和行政法规，工程所在地政府的有关法规和规章</w:t>
      </w:r>
      <w:r>
        <w:rPr>
          <w:rFonts w:hint="eastAsia" w:ascii="宋体" w:hAnsi="宋体" w:eastAsia="宋体" w:cs="宋体"/>
          <w:color w:val="auto"/>
          <w:sz w:val="28"/>
          <w:szCs w:val="28"/>
          <w:highlight w:val="none"/>
          <w:u w:val="single"/>
          <w:lang w:eastAsia="zh-CN"/>
        </w:rPr>
        <w:t>。</w:t>
      </w:r>
    </w:p>
    <w:p w14:paraId="53506CD1">
      <w:pPr>
        <w:pStyle w:val="196"/>
        <w:pageBreakBefore w:val="0"/>
        <w:numPr>
          <w:ilvl w:val="0"/>
          <w:numId w:val="0"/>
        </w:numPr>
        <w:tabs>
          <w:tab w:val="left" w:pos="993"/>
          <w:tab w:val="left" w:pos="9077"/>
        </w:tabs>
        <w:kinsoku/>
        <w:overflowPunct/>
        <w:topLinePunct w:val="0"/>
        <w:bidi w:val="0"/>
        <w:snapToGrid/>
        <w:spacing w:before="0" w:after="0" w:line="560" w:lineRule="exact"/>
        <w:ind w:right="48" w:rightChars="23" w:firstLine="278" w:firstLineChars="100"/>
        <w:jc w:val="left"/>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lang w:val="en-US" w:eastAsia="zh-CN"/>
        </w:rPr>
        <w:t>1.4.2</w:t>
      </w:r>
      <w:r>
        <w:rPr>
          <w:rFonts w:hint="eastAsia" w:ascii="宋体" w:hAnsi="宋体" w:eastAsia="宋体" w:cs="宋体"/>
          <w:color w:val="auto"/>
          <w:spacing w:val="-1"/>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pacing w:val="-1"/>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pacing w:val="-1"/>
          <w:sz w:val="28"/>
          <w:szCs w:val="28"/>
          <w:highlight w:val="none"/>
        </w:rPr>
        <w:t>国外</w:t>
      </w:r>
      <w:r>
        <w:rPr>
          <w:rFonts w:hint="eastAsia" w:ascii="宋体" w:hAnsi="宋体" w:eastAsia="宋体" w:cs="宋体"/>
          <w:color w:val="auto"/>
          <w:spacing w:val="-3"/>
          <w:sz w:val="28"/>
          <w:szCs w:val="28"/>
          <w:highlight w:val="none"/>
        </w:rPr>
        <w:t>标</w:t>
      </w:r>
      <w:r>
        <w:rPr>
          <w:rFonts w:hint="eastAsia" w:ascii="宋体" w:hAnsi="宋体" w:eastAsia="宋体" w:cs="宋体"/>
          <w:color w:val="auto"/>
          <w:spacing w:val="-1"/>
          <w:sz w:val="28"/>
          <w:szCs w:val="28"/>
          <w:highlight w:val="none"/>
        </w:rPr>
        <w:t>准、</w:t>
      </w:r>
      <w:r>
        <w:rPr>
          <w:rFonts w:hint="eastAsia" w:ascii="宋体" w:hAnsi="宋体" w:eastAsia="宋体" w:cs="宋体"/>
          <w:color w:val="auto"/>
          <w:spacing w:val="-3"/>
          <w:sz w:val="28"/>
          <w:szCs w:val="28"/>
          <w:highlight w:val="none"/>
        </w:rPr>
        <w:t>规</w:t>
      </w:r>
      <w:r>
        <w:rPr>
          <w:rFonts w:hint="eastAsia" w:ascii="宋体" w:hAnsi="宋体" w:eastAsia="宋体" w:cs="宋体"/>
          <w:color w:val="auto"/>
          <w:spacing w:val="-1"/>
          <w:sz w:val="28"/>
          <w:szCs w:val="28"/>
          <w:highlight w:val="none"/>
        </w:rPr>
        <w:t>范的</w:t>
      </w:r>
      <w:r>
        <w:rPr>
          <w:rFonts w:hint="eastAsia" w:ascii="宋体" w:hAnsi="宋体" w:eastAsia="宋体" w:cs="宋体"/>
          <w:color w:val="auto"/>
          <w:spacing w:val="-3"/>
          <w:sz w:val="28"/>
          <w:szCs w:val="28"/>
          <w:highlight w:val="none"/>
        </w:rPr>
        <w:t>名</w:t>
      </w:r>
      <w:r>
        <w:rPr>
          <w:rFonts w:hint="eastAsia" w:ascii="宋体" w:hAnsi="宋体" w:eastAsia="宋体" w:cs="宋体"/>
          <w:color w:val="auto"/>
          <w:spacing w:val="-1"/>
          <w:sz w:val="28"/>
          <w:szCs w:val="28"/>
          <w:highlight w:val="none"/>
        </w:rPr>
        <w:t>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eastAsia="zh-CN"/>
        </w:rPr>
        <w:t>无</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w:t>
      </w:r>
    </w:p>
    <w:p w14:paraId="7478C083">
      <w:pPr>
        <w:pStyle w:val="19"/>
        <w:pageBreakBefore w:val="0"/>
        <w:tabs>
          <w:tab w:val="left" w:pos="4952"/>
          <w:tab w:val="left" w:pos="8912"/>
        </w:tabs>
        <w:kinsoku/>
        <w:overflowPunct/>
        <w:topLinePunct w:val="0"/>
        <w:bidi w:val="0"/>
        <w:snapToGrid/>
        <w:spacing w:before="77" w:line="560" w:lineRule="exact"/>
        <w:ind w:left="332" w:right="48" w:rightChars="23" w:hanging="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国外</w:t>
      </w:r>
      <w:r>
        <w:rPr>
          <w:rFonts w:hint="eastAsia" w:ascii="宋体" w:hAnsi="宋体" w:eastAsia="宋体" w:cs="宋体"/>
          <w:color w:val="auto"/>
          <w:spacing w:val="-3"/>
          <w:sz w:val="28"/>
          <w:szCs w:val="28"/>
          <w:highlight w:val="none"/>
        </w:rPr>
        <w:t>标</w:t>
      </w:r>
      <w:r>
        <w:rPr>
          <w:rFonts w:hint="eastAsia" w:ascii="宋体" w:hAnsi="宋体" w:eastAsia="宋体" w:cs="宋体"/>
          <w:color w:val="auto"/>
          <w:sz w:val="28"/>
          <w:szCs w:val="28"/>
          <w:highlight w:val="none"/>
        </w:rPr>
        <w:t>准、</w:t>
      </w:r>
      <w:r>
        <w:rPr>
          <w:rFonts w:hint="eastAsia" w:ascii="宋体" w:hAnsi="宋体" w:eastAsia="宋体" w:cs="宋体"/>
          <w:color w:val="auto"/>
          <w:spacing w:val="-3"/>
          <w:sz w:val="28"/>
          <w:szCs w:val="28"/>
          <w:highlight w:val="none"/>
        </w:rPr>
        <w:t>规</w:t>
      </w:r>
      <w:r>
        <w:rPr>
          <w:rFonts w:hint="eastAsia" w:ascii="宋体" w:hAnsi="宋体" w:eastAsia="宋体" w:cs="宋体"/>
          <w:color w:val="auto"/>
          <w:sz w:val="28"/>
          <w:szCs w:val="28"/>
          <w:highlight w:val="none"/>
        </w:rPr>
        <w:t>范的</w:t>
      </w:r>
      <w:r>
        <w:rPr>
          <w:rFonts w:hint="eastAsia" w:ascii="宋体" w:hAnsi="宋体" w:eastAsia="宋体" w:cs="宋体"/>
          <w:color w:val="auto"/>
          <w:spacing w:val="-3"/>
          <w:sz w:val="28"/>
          <w:szCs w:val="28"/>
          <w:highlight w:val="none"/>
        </w:rPr>
        <w:t>份</w:t>
      </w:r>
      <w:r>
        <w:rPr>
          <w:rFonts w:hint="eastAsia" w:ascii="宋体" w:hAnsi="宋体" w:eastAsia="宋体" w:cs="宋体"/>
          <w:color w:val="auto"/>
          <w:sz w:val="28"/>
          <w:szCs w:val="28"/>
          <w:highlight w:val="none"/>
        </w:rPr>
        <w:t>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eastAsia="zh-CN"/>
        </w:rPr>
        <w:t>无</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56E64293">
      <w:pPr>
        <w:pStyle w:val="19"/>
        <w:pageBreakBefore w:val="0"/>
        <w:tabs>
          <w:tab w:val="left" w:pos="5173"/>
        </w:tabs>
        <w:kinsoku/>
        <w:overflowPunct/>
        <w:topLinePunct w:val="0"/>
        <w:bidi w:val="0"/>
        <w:snapToGrid/>
        <w:spacing w:before="2"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国外</w:t>
      </w:r>
      <w:r>
        <w:rPr>
          <w:rFonts w:hint="eastAsia" w:ascii="宋体" w:hAnsi="宋体" w:eastAsia="宋体" w:cs="宋体"/>
          <w:color w:val="auto"/>
          <w:spacing w:val="-3"/>
          <w:sz w:val="28"/>
          <w:szCs w:val="28"/>
          <w:highlight w:val="none"/>
        </w:rPr>
        <w:t>标</w:t>
      </w:r>
      <w:r>
        <w:rPr>
          <w:rFonts w:hint="eastAsia" w:ascii="宋体" w:hAnsi="宋体" w:eastAsia="宋体" w:cs="宋体"/>
          <w:color w:val="auto"/>
          <w:sz w:val="28"/>
          <w:szCs w:val="28"/>
          <w:highlight w:val="none"/>
        </w:rPr>
        <w:t>准、</w:t>
      </w:r>
      <w:r>
        <w:rPr>
          <w:rFonts w:hint="eastAsia" w:ascii="宋体" w:hAnsi="宋体" w:eastAsia="宋体" w:cs="宋体"/>
          <w:color w:val="auto"/>
          <w:spacing w:val="-3"/>
          <w:sz w:val="28"/>
          <w:szCs w:val="28"/>
          <w:highlight w:val="none"/>
        </w:rPr>
        <w:t>规</w:t>
      </w:r>
      <w:r>
        <w:rPr>
          <w:rFonts w:hint="eastAsia" w:ascii="宋体" w:hAnsi="宋体" w:eastAsia="宋体" w:cs="宋体"/>
          <w:color w:val="auto"/>
          <w:sz w:val="28"/>
          <w:szCs w:val="28"/>
          <w:highlight w:val="none"/>
        </w:rPr>
        <w:t>范的</w:t>
      </w:r>
      <w:r>
        <w:rPr>
          <w:rFonts w:hint="eastAsia" w:ascii="宋体" w:hAnsi="宋体" w:eastAsia="宋体" w:cs="宋体"/>
          <w:color w:val="auto"/>
          <w:spacing w:val="-3"/>
          <w:sz w:val="28"/>
          <w:szCs w:val="28"/>
          <w:highlight w:val="none"/>
        </w:rPr>
        <w:t>名</w:t>
      </w:r>
      <w:r>
        <w:rPr>
          <w:rFonts w:hint="eastAsia" w:ascii="宋体" w:hAnsi="宋体" w:eastAsia="宋体" w:cs="宋体"/>
          <w:color w:val="auto"/>
          <w:sz w:val="28"/>
          <w:szCs w:val="28"/>
          <w:highlight w:val="none"/>
        </w:rPr>
        <w:t>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eastAsia="zh-CN"/>
        </w:rPr>
        <w:t>无</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w:t>
      </w:r>
    </w:p>
    <w:p w14:paraId="6158243E">
      <w:pPr>
        <w:pStyle w:val="196"/>
        <w:pageBreakBefore w:val="0"/>
        <w:numPr>
          <w:ilvl w:val="0"/>
          <w:numId w:val="0"/>
        </w:numPr>
        <w:tabs>
          <w:tab w:val="left" w:pos="993"/>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1.4.3</w:t>
      </w:r>
      <w:r>
        <w:rPr>
          <w:rFonts w:hint="eastAsia" w:ascii="宋体" w:hAnsi="宋体" w:eastAsia="宋体" w:cs="宋体"/>
          <w:color w:val="auto"/>
          <w:spacing w:val="-3"/>
          <w:sz w:val="28"/>
          <w:szCs w:val="28"/>
          <w:highlight w:val="none"/>
        </w:rPr>
        <w:t>发包人对工程的技术标准和功能要求的特殊要求：</w:t>
      </w:r>
    </w:p>
    <w:p w14:paraId="01422E47">
      <w:pPr>
        <w:pageBreakBefore w:val="0"/>
        <w:numPr>
          <w:ilvl w:val="0"/>
          <w:numId w:val="0"/>
        </w:numPr>
        <w:tabs>
          <w:tab w:val="left" w:pos="777"/>
        </w:tabs>
        <w:kinsoku/>
        <w:overflowPunct/>
        <w:topLinePunct w:val="0"/>
        <w:bidi w:val="0"/>
        <w:snapToGrid/>
        <w:spacing w:before="191" w:line="560" w:lineRule="exact"/>
        <w:ind w:left="331" w:leftChars="0" w:right="48" w:rightChars="23"/>
        <w:jc w:val="left"/>
        <w:rPr>
          <w:rFonts w:hint="eastAsia" w:ascii="宋体" w:hAnsi="宋体" w:eastAsia="宋体" w:cs="宋体"/>
          <w:b/>
          <w:color w:val="auto"/>
          <w:sz w:val="28"/>
          <w:szCs w:val="28"/>
          <w:highlight w:val="none"/>
        </w:rPr>
      </w:pPr>
      <w:bookmarkStart w:id="116" w:name="1.5 合同文件的优先顺序"/>
      <w:bookmarkEnd w:id="116"/>
      <w:bookmarkStart w:id="117" w:name="1.5 合同文件的优先顺序"/>
      <w:bookmarkEnd w:id="117"/>
      <w:r>
        <w:rPr>
          <w:rFonts w:hint="eastAsia" w:ascii="宋体" w:hAnsi="宋体" w:eastAsia="宋体" w:cs="宋体"/>
          <w:b/>
          <w:color w:val="auto"/>
          <w:sz w:val="28"/>
          <w:szCs w:val="28"/>
          <w:highlight w:val="none"/>
          <w:lang w:val="en-US" w:eastAsia="zh-CN"/>
        </w:rPr>
        <w:t>1.5</w:t>
      </w:r>
      <w:r>
        <w:rPr>
          <w:rFonts w:hint="eastAsia" w:ascii="宋体" w:hAnsi="宋体" w:eastAsia="宋体" w:cs="宋体"/>
          <w:b/>
          <w:color w:val="auto"/>
          <w:sz w:val="28"/>
          <w:szCs w:val="28"/>
          <w:highlight w:val="none"/>
        </w:rPr>
        <w:t>合同文件的优先顺序</w:t>
      </w:r>
    </w:p>
    <w:p w14:paraId="26DAE6D9">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合同文件组成及优先顺序为：</w:t>
      </w:r>
    </w:p>
    <w:p w14:paraId="46591EA1">
      <w:pPr>
        <w:pStyle w:val="196"/>
        <w:pageBreakBefore w:val="0"/>
        <w:numPr>
          <w:ilvl w:val="0"/>
          <w:numId w:val="0"/>
        </w:numPr>
        <w:tabs>
          <w:tab w:val="left" w:pos="886"/>
        </w:tabs>
        <w:kinsoku/>
        <w:overflowPunct/>
        <w:topLinePunct w:val="0"/>
        <w:bidi w:val="0"/>
        <w:snapToGrid/>
        <w:spacing w:before="0" w:after="0" w:line="560" w:lineRule="exact"/>
        <w:ind w:left="332"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合同协议书</w:t>
      </w:r>
    </w:p>
    <w:p w14:paraId="170E94E4">
      <w:pPr>
        <w:pStyle w:val="196"/>
        <w:pageBreakBefore w:val="0"/>
        <w:numPr>
          <w:ilvl w:val="0"/>
          <w:numId w:val="0"/>
        </w:numPr>
        <w:tabs>
          <w:tab w:val="left" w:pos="886"/>
          <w:tab w:val="left" w:pos="3743"/>
        </w:tabs>
        <w:kinsoku/>
        <w:overflowPunct/>
        <w:topLinePunct w:val="0"/>
        <w:bidi w:val="0"/>
        <w:snapToGrid/>
        <w:spacing w:before="0" w:after="0" w:line="560" w:lineRule="exact"/>
        <w:ind w:left="886" w:leftChars="0" w:right="48" w:rightChars="23" w:hanging="554"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成</w:t>
      </w:r>
      <w:r>
        <w:rPr>
          <w:rFonts w:hint="eastAsia" w:ascii="宋体" w:hAnsi="宋体" w:eastAsia="宋体" w:cs="宋体"/>
          <w:color w:val="auto"/>
          <w:sz w:val="28"/>
          <w:szCs w:val="28"/>
          <w:highlight w:val="none"/>
        </w:rPr>
        <w:t>交通</w:t>
      </w:r>
      <w:r>
        <w:rPr>
          <w:rFonts w:hint="eastAsia" w:ascii="宋体" w:hAnsi="宋体" w:eastAsia="宋体" w:cs="宋体"/>
          <w:color w:val="auto"/>
          <w:spacing w:val="-3"/>
          <w:sz w:val="28"/>
          <w:szCs w:val="28"/>
          <w:highlight w:val="none"/>
        </w:rPr>
        <w:t>知</w:t>
      </w:r>
      <w:r>
        <w:rPr>
          <w:rFonts w:hint="eastAsia" w:ascii="宋体" w:hAnsi="宋体" w:eastAsia="宋体" w:cs="宋体"/>
          <w:color w:val="auto"/>
          <w:sz w:val="28"/>
          <w:szCs w:val="28"/>
          <w:highlight w:val="none"/>
        </w:rPr>
        <w:t>书（</w:t>
      </w:r>
      <w:r>
        <w:rPr>
          <w:rFonts w:hint="eastAsia" w:ascii="宋体" w:hAnsi="宋体" w:eastAsia="宋体" w:cs="宋体"/>
          <w:color w:val="auto"/>
          <w:spacing w:val="-3"/>
          <w:sz w:val="28"/>
          <w:szCs w:val="28"/>
          <w:highlight w:val="none"/>
        </w:rPr>
        <w:t>如</w:t>
      </w:r>
      <w:r>
        <w:rPr>
          <w:rFonts w:hint="eastAsia" w:ascii="宋体" w:hAnsi="宋体" w:eastAsia="宋体" w:cs="宋体"/>
          <w:color w:val="auto"/>
          <w:sz w:val="28"/>
          <w:szCs w:val="28"/>
          <w:highlight w:val="none"/>
        </w:rPr>
        <w:t>有</w:t>
      </w:r>
      <w:r>
        <w:rPr>
          <w:rFonts w:hint="eastAsia" w:ascii="宋体" w:hAnsi="宋体" w:eastAsia="宋体" w:cs="宋体"/>
          <w:color w:val="auto"/>
          <w:spacing w:val="-3"/>
          <w:sz w:val="28"/>
          <w:szCs w:val="28"/>
          <w:highlight w:val="none"/>
        </w:rPr>
        <w:t>）</w:t>
      </w:r>
    </w:p>
    <w:p w14:paraId="1849A643">
      <w:pPr>
        <w:pStyle w:val="196"/>
        <w:pageBreakBefore w:val="0"/>
        <w:numPr>
          <w:ilvl w:val="0"/>
          <w:numId w:val="0"/>
        </w:numPr>
        <w:tabs>
          <w:tab w:val="left" w:pos="886"/>
          <w:tab w:val="left" w:pos="4292"/>
        </w:tabs>
        <w:kinsoku/>
        <w:overflowPunct/>
        <w:topLinePunct w:val="0"/>
        <w:bidi w:val="0"/>
        <w:snapToGrid/>
        <w:spacing w:before="1" w:after="0" w:line="560" w:lineRule="exact"/>
        <w:ind w:left="886" w:leftChars="0" w:right="48" w:rightChars="23" w:hanging="554"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投</w:t>
      </w:r>
      <w:r>
        <w:rPr>
          <w:rFonts w:hint="eastAsia" w:ascii="宋体" w:hAnsi="宋体" w:eastAsia="宋体" w:cs="宋体"/>
          <w:color w:val="auto"/>
          <w:sz w:val="28"/>
          <w:szCs w:val="28"/>
          <w:highlight w:val="none"/>
        </w:rPr>
        <w:t>标函</w:t>
      </w:r>
      <w:r>
        <w:rPr>
          <w:rFonts w:hint="eastAsia" w:ascii="宋体" w:hAnsi="宋体" w:eastAsia="宋体" w:cs="宋体"/>
          <w:color w:val="auto"/>
          <w:spacing w:val="-3"/>
          <w:sz w:val="28"/>
          <w:szCs w:val="28"/>
          <w:highlight w:val="none"/>
        </w:rPr>
        <w:t>及</w:t>
      </w:r>
      <w:r>
        <w:rPr>
          <w:rFonts w:hint="eastAsia" w:ascii="宋体" w:hAnsi="宋体" w:eastAsia="宋体" w:cs="宋体"/>
          <w:color w:val="auto"/>
          <w:sz w:val="28"/>
          <w:szCs w:val="28"/>
          <w:highlight w:val="none"/>
        </w:rPr>
        <w:t>其附</w:t>
      </w:r>
      <w:r>
        <w:rPr>
          <w:rFonts w:hint="eastAsia" w:ascii="宋体" w:hAnsi="宋体" w:eastAsia="宋体" w:cs="宋体"/>
          <w:color w:val="auto"/>
          <w:spacing w:val="-3"/>
          <w:sz w:val="28"/>
          <w:szCs w:val="28"/>
          <w:highlight w:val="none"/>
        </w:rPr>
        <w:t>录</w:t>
      </w:r>
      <w:r>
        <w:rPr>
          <w:rFonts w:hint="eastAsia" w:ascii="宋体" w:hAnsi="宋体" w:eastAsia="宋体" w:cs="宋体"/>
          <w:color w:val="auto"/>
          <w:sz w:val="28"/>
          <w:szCs w:val="28"/>
          <w:highlight w:val="none"/>
        </w:rPr>
        <w:t>（如有）</w:t>
      </w:r>
    </w:p>
    <w:p w14:paraId="55F41CD1">
      <w:pPr>
        <w:pStyle w:val="196"/>
        <w:pageBreakBefore w:val="0"/>
        <w:numPr>
          <w:ilvl w:val="0"/>
          <w:numId w:val="0"/>
        </w:numPr>
        <w:tabs>
          <w:tab w:val="left" w:pos="886"/>
          <w:tab w:val="left" w:pos="3963"/>
        </w:tabs>
        <w:kinsoku/>
        <w:overflowPunct/>
        <w:topLinePunct w:val="0"/>
        <w:bidi w:val="0"/>
        <w:snapToGrid/>
        <w:spacing w:before="0" w:after="0" w:line="560" w:lineRule="exact"/>
        <w:ind w:left="886" w:leftChars="0" w:right="48" w:rightChars="23" w:hanging="554"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专</w:t>
      </w:r>
      <w:r>
        <w:rPr>
          <w:rFonts w:hint="eastAsia" w:ascii="宋体" w:hAnsi="宋体" w:eastAsia="宋体" w:cs="宋体"/>
          <w:color w:val="auto"/>
          <w:sz w:val="28"/>
          <w:szCs w:val="28"/>
          <w:highlight w:val="none"/>
        </w:rPr>
        <w:t>用合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条款</w:t>
      </w:r>
      <w:r>
        <w:rPr>
          <w:rFonts w:hint="eastAsia" w:ascii="宋体" w:hAnsi="宋体" w:eastAsia="宋体" w:cs="宋体"/>
          <w:color w:val="auto"/>
          <w:spacing w:val="-3"/>
          <w:sz w:val="28"/>
          <w:szCs w:val="28"/>
          <w:highlight w:val="none"/>
        </w:rPr>
        <w:t>及</w:t>
      </w:r>
      <w:r>
        <w:rPr>
          <w:rFonts w:hint="eastAsia" w:ascii="宋体" w:hAnsi="宋体" w:eastAsia="宋体" w:cs="宋体"/>
          <w:color w:val="auto"/>
          <w:sz w:val="28"/>
          <w:szCs w:val="28"/>
          <w:highlight w:val="none"/>
        </w:rPr>
        <w:t>其附</w:t>
      </w:r>
      <w:r>
        <w:rPr>
          <w:rFonts w:hint="eastAsia" w:ascii="宋体" w:hAnsi="宋体" w:eastAsia="宋体" w:cs="宋体"/>
          <w:color w:val="auto"/>
          <w:spacing w:val="-3"/>
          <w:sz w:val="28"/>
          <w:szCs w:val="28"/>
          <w:highlight w:val="none"/>
        </w:rPr>
        <w:t>件</w:t>
      </w:r>
    </w:p>
    <w:p w14:paraId="643A9583">
      <w:pPr>
        <w:pStyle w:val="196"/>
        <w:pageBreakBefore w:val="0"/>
        <w:numPr>
          <w:ilvl w:val="0"/>
          <w:numId w:val="0"/>
        </w:numPr>
        <w:tabs>
          <w:tab w:val="left" w:pos="886"/>
          <w:tab w:val="left" w:pos="3083"/>
        </w:tabs>
        <w:kinsoku/>
        <w:overflowPunct/>
        <w:topLinePunct w:val="0"/>
        <w:bidi w:val="0"/>
        <w:snapToGrid/>
        <w:spacing w:before="0" w:after="0" w:line="560" w:lineRule="exact"/>
        <w:ind w:left="886" w:leftChars="0" w:right="48" w:rightChars="23" w:hanging="554"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通</w:t>
      </w:r>
      <w:r>
        <w:rPr>
          <w:rFonts w:hint="eastAsia" w:ascii="宋体" w:hAnsi="宋体" w:eastAsia="宋体" w:cs="宋体"/>
          <w:color w:val="auto"/>
          <w:sz w:val="28"/>
          <w:szCs w:val="28"/>
          <w:highlight w:val="none"/>
        </w:rPr>
        <w:t>用合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条款</w:t>
      </w:r>
    </w:p>
    <w:p w14:paraId="30BDC447">
      <w:pPr>
        <w:pStyle w:val="19"/>
        <w:pageBreakBefore w:val="0"/>
        <w:tabs>
          <w:tab w:val="left" w:pos="30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u w:val="single"/>
        </w:rPr>
        <w:t xml:space="preserve"> 其他合同文件</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w:t>
      </w:r>
    </w:p>
    <w:p w14:paraId="187B7BC1">
      <w:pPr>
        <w:pStyle w:val="19"/>
        <w:pageBreakBefore w:val="0"/>
        <w:tabs>
          <w:tab w:val="left" w:pos="30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u w:val="single"/>
        </w:rPr>
        <w:t xml:space="preserve"> 已标价工程量清单</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w:t>
      </w:r>
    </w:p>
    <w:p w14:paraId="132505D2">
      <w:pPr>
        <w:pStyle w:val="19"/>
        <w:pageBreakBefore w:val="0"/>
        <w:numPr>
          <w:ilvl w:val="0"/>
          <w:numId w:val="8"/>
        </w:numPr>
        <w:tabs>
          <w:tab w:val="left" w:pos="30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val="en-US" w:eastAsia="zh-CN"/>
        </w:rPr>
        <w:t xml:space="preserve">      /             </w:t>
      </w:r>
      <w:r>
        <w:rPr>
          <w:rFonts w:hint="eastAsia" w:ascii="宋体" w:hAnsi="宋体" w:eastAsia="宋体" w:cs="宋体"/>
          <w:color w:val="auto"/>
          <w:sz w:val="28"/>
          <w:szCs w:val="28"/>
          <w:highlight w:val="none"/>
        </w:rPr>
        <w:t>；</w:t>
      </w:r>
    </w:p>
    <w:p w14:paraId="4D6E5F68">
      <w:pPr>
        <w:pStyle w:val="19"/>
        <w:pageBreakBefore w:val="0"/>
        <w:numPr>
          <w:ilvl w:val="0"/>
          <w:numId w:val="8"/>
        </w:numPr>
        <w:tabs>
          <w:tab w:val="left" w:pos="30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single"/>
          <w:lang w:val="en-US" w:eastAsia="zh-CN"/>
        </w:rPr>
        <w:t xml:space="preserve">      /             </w:t>
      </w:r>
      <w:r>
        <w:rPr>
          <w:rFonts w:hint="eastAsia" w:ascii="宋体" w:hAnsi="宋体" w:eastAsia="宋体" w:cs="宋体"/>
          <w:color w:val="auto"/>
          <w:sz w:val="28"/>
          <w:szCs w:val="28"/>
          <w:highlight w:val="none"/>
        </w:rPr>
        <w:t>；</w:t>
      </w:r>
    </w:p>
    <w:p w14:paraId="512C9A51">
      <w:pPr>
        <w:pStyle w:val="19"/>
        <w:pageBreakBefore w:val="0"/>
        <w:numPr>
          <w:ilvl w:val="0"/>
          <w:numId w:val="8"/>
        </w:numPr>
        <w:tabs>
          <w:tab w:val="left" w:pos="30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bookmarkStart w:id="118" w:name="1.3 法律"/>
      <w:bookmarkEnd w:id="118"/>
      <w:bookmarkStart w:id="119" w:name="1.3 法律"/>
      <w:bookmarkEnd w:id="119"/>
      <w:r>
        <w:rPr>
          <w:rFonts w:hint="eastAsia" w:ascii="宋体" w:hAnsi="宋体" w:eastAsia="宋体" w:cs="宋体"/>
          <w:color w:val="auto"/>
          <w:spacing w:val="-3"/>
          <w:sz w:val="28"/>
          <w:szCs w:val="28"/>
          <w:highlight w:val="none"/>
        </w:rPr>
        <w:t>《建设工程工程量清单计价规范</w:t>
      </w:r>
      <w:r>
        <w:rPr>
          <w:rFonts w:hint="eastAsia" w:ascii="宋体" w:hAnsi="宋体" w:eastAsia="宋体" w:cs="宋体"/>
          <w:color w:val="auto"/>
          <w:sz w:val="28"/>
          <w:szCs w:val="28"/>
          <w:highlight w:val="none"/>
        </w:rPr>
        <w:t>（GB5050-2013）</w:t>
      </w:r>
      <w:r>
        <w:rPr>
          <w:rFonts w:hint="eastAsia" w:ascii="宋体" w:hAnsi="宋体" w:eastAsia="宋体" w:cs="宋体"/>
          <w:color w:val="auto"/>
          <w:spacing w:val="-3"/>
          <w:sz w:val="28"/>
          <w:szCs w:val="28"/>
          <w:highlight w:val="none"/>
        </w:rPr>
        <w:t>》及其广西实施细则及《关于建筑业实施营</w:t>
      </w:r>
      <w:r>
        <w:rPr>
          <w:rFonts w:hint="eastAsia" w:ascii="宋体" w:hAnsi="宋体" w:eastAsia="宋体" w:cs="宋体"/>
          <w:color w:val="auto"/>
          <w:spacing w:val="-4"/>
          <w:sz w:val="28"/>
          <w:szCs w:val="28"/>
          <w:highlight w:val="none"/>
        </w:rPr>
        <w:t>业税改征增值税后广西壮族自治区建设工程计价依据调整的通知》</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6"/>
          <w:sz w:val="28"/>
          <w:szCs w:val="28"/>
          <w:highlight w:val="none"/>
        </w:rPr>
        <w:t>桂建标〔</w:t>
      </w:r>
      <w:r>
        <w:rPr>
          <w:rFonts w:hint="eastAsia" w:ascii="宋体" w:hAnsi="宋体" w:eastAsia="宋体" w:cs="宋体"/>
          <w:color w:val="auto"/>
          <w:sz w:val="28"/>
          <w:szCs w:val="28"/>
          <w:highlight w:val="none"/>
        </w:rPr>
        <w:t>2016</w:t>
      </w:r>
      <w:r>
        <w:rPr>
          <w:rFonts w:hint="eastAsia" w:ascii="宋体" w:hAnsi="宋体" w:eastAsia="宋体" w:cs="宋体"/>
          <w:color w:val="auto"/>
          <w:spacing w:val="-15"/>
          <w:sz w:val="28"/>
          <w:szCs w:val="28"/>
          <w:highlight w:val="none"/>
        </w:rPr>
        <w:t>〕</w:t>
      </w:r>
      <w:r>
        <w:rPr>
          <w:rFonts w:hint="eastAsia" w:ascii="宋体" w:hAnsi="宋体" w:eastAsia="宋体" w:cs="宋体"/>
          <w:color w:val="auto"/>
          <w:sz w:val="28"/>
          <w:szCs w:val="28"/>
          <w:highlight w:val="none"/>
        </w:rPr>
        <w:t>17</w:t>
      </w:r>
      <w:r>
        <w:rPr>
          <w:rFonts w:hint="eastAsia" w:ascii="宋体" w:hAnsi="宋体" w:eastAsia="宋体" w:cs="宋体"/>
          <w:color w:val="auto"/>
          <w:spacing w:val="-25"/>
          <w:sz w:val="28"/>
          <w:szCs w:val="28"/>
          <w:highlight w:val="none"/>
        </w:rPr>
        <w:t xml:space="preserve"> 号</w:t>
      </w:r>
      <w:r>
        <w:rPr>
          <w:rFonts w:hint="eastAsia" w:ascii="宋体" w:hAnsi="宋体" w:eastAsia="宋体" w:cs="宋体"/>
          <w:color w:val="auto"/>
          <w:spacing w:val="-13"/>
          <w:sz w:val="28"/>
          <w:szCs w:val="28"/>
          <w:highlight w:val="none"/>
        </w:rPr>
        <w:t>）</w:t>
      </w:r>
      <w:r>
        <w:rPr>
          <w:rFonts w:hint="eastAsia" w:ascii="宋体" w:hAnsi="宋体" w:eastAsia="宋体" w:cs="宋体"/>
          <w:color w:val="auto"/>
          <w:spacing w:val="-8"/>
          <w:sz w:val="28"/>
          <w:szCs w:val="28"/>
          <w:highlight w:val="none"/>
        </w:rPr>
        <w:t>、《建设</w:t>
      </w:r>
      <w:r>
        <w:rPr>
          <w:rFonts w:hint="eastAsia" w:ascii="宋体" w:hAnsi="宋体" w:eastAsia="宋体" w:cs="宋体"/>
          <w:color w:val="auto"/>
          <w:spacing w:val="-3"/>
          <w:sz w:val="28"/>
          <w:szCs w:val="28"/>
          <w:highlight w:val="none"/>
        </w:rPr>
        <w:t>工程工程量清单计算规范</w:t>
      </w:r>
      <w:r>
        <w:rPr>
          <w:rFonts w:hint="eastAsia" w:ascii="宋体" w:hAnsi="宋体" w:eastAsia="宋体" w:cs="宋体"/>
          <w:color w:val="auto"/>
          <w:sz w:val="28"/>
          <w:szCs w:val="28"/>
          <w:highlight w:val="none"/>
        </w:rPr>
        <w:t>（GB5854~50862-2013）</w:t>
      </w:r>
      <w:r>
        <w:rPr>
          <w:rFonts w:hint="eastAsia" w:ascii="宋体" w:hAnsi="宋体" w:eastAsia="宋体" w:cs="宋体"/>
          <w:color w:val="auto"/>
          <w:spacing w:val="-3"/>
          <w:sz w:val="28"/>
          <w:szCs w:val="28"/>
          <w:highlight w:val="none"/>
        </w:rPr>
        <w:t>》及其广西实施细则（</w:t>
      </w:r>
      <w:r>
        <w:rPr>
          <w:rFonts w:hint="eastAsia" w:ascii="宋体" w:hAnsi="宋体" w:eastAsia="宋体" w:cs="宋体"/>
          <w:color w:val="auto"/>
          <w:spacing w:val="-1"/>
          <w:sz w:val="28"/>
          <w:szCs w:val="28"/>
          <w:highlight w:val="none"/>
        </w:rPr>
        <w:t>修订本</w:t>
      </w:r>
      <w:r>
        <w:rPr>
          <w:rFonts w:hint="eastAsia" w:ascii="宋体" w:hAnsi="宋体" w:eastAsia="宋体" w:cs="宋体"/>
          <w:color w:val="auto"/>
          <w:sz w:val="28"/>
          <w:szCs w:val="28"/>
          <w:highlight w:val="none"/>
        </w:rPr>
        <w:t>）。</w:t>
      </w:r>
    </w:p>
    <w:p w14:paraId="39D403F9">
      <w:pPr>
        <w:pStyle w:val="19"/>
        <w:pageBreakBefore w:val="0"/>
        <w:kinsoku/>
        <w:overflowPunct/>
        <w:topLinePunct w:val="0"/>
        <w:bidi w:val="0"/>
        <w:snapToGrid/>
        <w:spacing w:before="4"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说明：（6）、（7）、（8）、（9）填空内容分别限于技术标准和要求、图纸、已标价工程量清单或预算书、其他合同文件四者之一，其优先顺序可根据采取的不同合同方式由双方约定。</w:t>
      </w:r>
    </w:p>
    <w:p w14:paraId="36A50AD0">
      <w:pPr>
        <w:pageBreakBefore w:val="0"/>
        <w:numPr>
          <w:ilvl w:val="0"/>
          <w:numId w:val="0"/>
        </w:numPr>
        <w:tabs>
          <w:tab w:val="left" w:pos="777"/>
        </w:tabs>
        <w:kinsoku/>
        <w:overflowPunct/>
        <w:topLinePunct w:val="0"/>
        <w:bidi w:val="0"/>
        <w:snapToGrid/>
        <w:spacing w:before="0" w:line="560" w:lineRule="exact"/>
        <w:ind w:left="331" w:leftChars="0" w:right="48" w:rightChars="23"/>
        <w:jc w:val="left"/>
        <w:rPr>
          <w:rFonts w:hint="eastAsia" w:ascii="宋体" w:hAnsi="宋体" w:eastAsia="宋体" w:cs="宋体"/>
          <w:b/>
          <w:color w:val="auto"/>
          <w:sz w:val="28"/>
          <w:szCs w:val="28"/>
          <w:highlight w:val="none"/>
        </w:rPr>
      </w:pPr>
      <w:bookmarkStart w:id="120" w:name="1.6 图纸和承包人文件"/>
      <w:bookmarkEnd w:id="120"/>
      <w:bookmarkStart w:id="121" w:name="1.6 图纸和承包人文件"/>
      <w:bookmarkEnd w:id="121"/>
      <w:r>
        <w:rPr>
          <w:rFonts w:hint="eastAsia" w:ascii="宋体" w:hAnsi="宋体" w:eastAsia="宋体" w:cs="宋体"/>
          <w:b/>
          <w:color w:val="auto"/>
          <w:sz w:val="28"/>
          <w:szCs w:val="28"/>
          <w:highlight w:val="none"/>
          <w:lang w:val="en-US" w:eastAsia="zh-CN"/>
        </w:rPr>
        <w:t>1.6</w:t>
      </w:r>
      <w:r>
        <w:rPr>
          <w:rFonts w:hint="eastAsia" w:ascii="宋体" w:hAnsi="宋体" w:eastAsia="宋体" w:cs="宋体"/>
          <w:b/>
          <w:color w:val="auto"/>
          <w:sz w:val="28"/>
          <w:szCs w:val="28"/>
          <w:highlight w:val="none"/>
        </w:rPr>
        <w:t>图纸和承包人文件</w:t>
      </w:r>
    </w:p>
    <w:p w14:paraId="64CD73C0">
      <w:pPr>
        <w:pStyle w:val="196"/>
        <w:pageBreakBefore w:val="0"/>
        <w:numPr>
          <w:ilvl w:val="0"/>
          <w:numId w:val="0"/>
        </w:numPr>
        <w:tabs>
          <w:tab w:val="left" w:pos="993"/>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1.6.1</w:t>
      </w:r>
      <w:r>
        <w:rPr>
          <w:rFonts w:hint="eastAsia" w:ascii="宋体" w:hAnsi="宋体" w:eastAsia="宋体" w:cs="宋体"/>
          <w:color w:val="auto"/>
          <w:spacing w:val="-2"/>
          <w:sz w:val="28"/>
          <w:szCs w:val="28"/>
          <w:highlight w:val="none"/>
        </w:rPr>
        <w:t>图纸的提供</w:t>
      </w:r>
    </w:p>
    <w:p w14:paraId="5BEB841F">
      <w:pPr>
        <w:pStyle w:val="19"/>
        <w:pageBreakBefore w:val="0"/>
        <w:tabs>
          <w:tab w:val="left" w:pos="704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人向</w:t>
      </w:r>
      <w:r>
        <w:rPr>
          <w:rFonts w:hint="eastAsia" w:ascii="宋体" w:hAnsi="宋体" w:eastAsia="宋体" w:cs="宋体"/>
          <w:color w:val="auto"/>
          <w:spacing w:val="-3"/>
          <w:sz w:val="28"/>
          <w:szCs w:val="28"/>
          <w:highlight w:val="none"/>
        </w:rPr>
        <w:t>承</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提</w:t>
      </w:r>
      <w:r>
        <w:rPr>
          <w:rFonts w:hint="eastAsia" w:ascii="宋体" w:hAnsi="宋体" w:eastAsia="宋体" w:cs="宋体"/>
          <w:color w:val="auto"/>
          <w:sz w:val="28"/>
          <w:szCs w:val="28"/>
          <w:highlight w:val="none"/>
        </w:rPr>
        <w:t>供图</w:t>
      </w:r>
      <w:r>
        <w:rPr>
          <w:rFonts w:hint="eastAsia" w:ascii="宋体" w:hAnsi="宋体" w:eastAsia="宋体" w:cs="宋体"/>
          <w:color w:val="auto"/>
          <w:spacing w:val="-3"/>
          <w:sz w:val="28"/>
          <w:szCs w:val="28"/>
          <w:highlight w:val="none"/>
        </w:rPr>
        <w:t>纸</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自</w:t>
      </w:r>
      <w:r>
        <w:rPr>
          <w:rFonts w:hint="eastAsia" w:ascii="宋体" w:hAnsi="宋体" w:eastAsia="宋体" w:cs="宋体"/>
          <w:color w:val="auto"/>
          <w:spacing w:val="-3"/>
          <w:sz w:val="28"/>
          <w:szCs w:val="28"/>
          <w:highlight w:val="none"/>
          <w:u w:val="single"/>
        </w:rPr>
        <w:t>签</w:t>
      </w:r>
      <w:r>
        <w:rPr>
          <w:rFonts w:hint="eastAsia" w:ascii="宋体" w:hAnsi="宋体" w:eastAsia="宋体" w:cs="宋体"/>
          <w:color w:val="auto"/>
          <w:sz w:val="28"/>
          <w:szCs w:val="28"/>
          <w:highlight w:val="none"/>
          <w:u w:val="single"/>
        </w:rPr>
        <w:t>订合</w:t>
      </w:r>
      <w:r>
        <w:rPr>
          <w:rFonts w:hint="eastAsia" w:ascii="宋体" w:hAnsi="宋体" w:eastAsia="宋体" w:cs="宋体"/>
          <w:color w:val="auto"/>
          <w:spacing w:val="-3"/>
          <w:sz w:val="28"/>
          <w:szCs w:val="28"/>
          <w:highlight w:val="none"/>
          <w:u w:val="single"/>
        </w:rPr>
        <w:t>同</w:t>
      </w:r>
      <w:r>
        <w:rPr>
          <w:rFonts w:hint="eastAsia" w:ascii="宋体" w:hAnsi="宋体" w:eastAsia="宋体" w:cs="宋体"/>
          <w:color w:val="auto"/>
          <w:sz w:val="28"/>
          <w:szCs w:val="28"/>
          <w:highlight w:val="none"/>
          <w:u w:val="single"/>
        </w:rPr>
        <w:t>之日起</w:t>
      </w:r>
      <w:r>
        <w:rPr>
          <w:rFonts w:hint="eastAsia" w:ascii="宋体" w:hAnsi="宋体" w:eastAsia="宋体" w:cs="宋体"/>
          <w:color w:val="auto"/>
          <w:spacing w:val="-53"/>
          <w:sz w:val="28"/>
          <w:szCs w:val="28"/>
          <w:highlight w:val="none"/>
          <w:u w:val="single"/>
        </w:rPr>
        <w:t xml:space="preserve"> </w:t>
      </w:r>
      <w:r>
        <w:rPr>
          <w:rFonts w:hint="eastAsia" w:ascii="宋体" w:hAnsi="宋体" w:eastAsia="宋体" w:cs="宋体"/>
          <w:color w:val="auto"/>
          <w:sz w:val="28"/>
          <w:szCs w:val="28"/>
          <w:highlight w:val="none"/>
          <w:u w:val="single"/>
        </w:rPr>
        <w:t>10</w:t>
      </w:r>
      <w:r>
        <w:rPr>
          <w:rFonts w:hint="eastAsia" w:ascii="宋体" w:hAnsi="宋体" w:eastAsia="宋体" w:cs="宋体"/>
          <w:color w:val="auto"/>
          <w:spacing w:val="-56"/>
          <w:sz w:val="28"/>
          <w:szCs w:val="28"/>
          <w:highlight w:val="none"/>
          <w:u w:val="single"/>
        </w:rPr>
        <w:t xml:space="preserve"> </w:t>
      </w:r>
      <w:r>
        <w:rPr>
          <w:rFonts w:hint="eastAsia" w:ascii="宋体" w:hAnsi="宋体" w:eastAsia="宋体" w:cs="宋体"/>
          <w:color w:val="auto"/>
          <w:sz w:val="28"/>
          <w:szCs w:val="28"/>
          <w:highlight w:val="none"/>
          <w:u w:val="single"/>
        </w:rPr>
        <w:t>个</w:t>
      </w:r>
      <w:r>
        <w:rPr>
          <w:rFonts w:hint="eastAsia" w:ascii="宋体" w:hAnsi="宋体" w:eastAsia="宋体" w:cs="宋体"/>
          <w:color w:val="auto"/>
          <w:spacing w:val="-3"/>
          <w:sz w:val="28"/>
          <w:szCs w:val="28"/>
          <w:highlight w:val="none"/>
          <w:u w:val="single"/>
        </w:rPr>
        <w:t>工</w:t>
      </w:r>
      <w:r>
        <w:rPr>
          <w:rFonts w:hint="eastAsia" w:ascii="宋体" w:hAnsi="宋体" w:eastAsia="宋体" w:cs="宋体"/>
          <w:color w:val="auto"/>
          <w:sz w:val="28"/>
          <w:szCs w:val="28"/>
          <w:highlight w:val="none"/>
          <w:u w:val="single"/>
        </w:rPr>
        <w:t>作日内</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w:t>
      </w:r>
    </w:p>
    <w:p w14:paraId="6076E3CC">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发包人向承包人提供图纸的数量：</w:t>
      </w:r>
      <w:r>
        <w:rPr>
          <w:rFonts w:hint="eastAsia" w:ascii="宋体" w:hAnsi="宋体" w:eastAsia="宋体" w:cs="宋体"/>
          <w:color w:val="auto"/>
          <w:sz w:val="28"/>
          <w:szCs w:val="28"/>
          <w:highlight w:val="none"/>
          <w:u w:val="single"/>
        </w:rPr>
        <w:t>1 套，承包人需要增加图纸套数的，发包人应代为复制，复制费用由承包人承担</w:t>
      </w:r>
      <w:r>
        <w:rPr>
          <w:rFonts w:hint="eastAsia" w:ascii="宋体" w:hAnsi="宋体" w:eastAsia="宋体" w:cs="宋体"/>
          <w:color w:val="auto"/>
          <w:sz w:val="28"/>
          <w:szCs w:val="28"/>
          <w:highlight w:val="none"/>
        </w:rPr>
        <w:t>；</w:t>
      </w:r>
    </w:p>
    <w:p w14:paraId="16DC3FB7">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发包人向承包人提供图纸的内容：</w:t>
      </w:r>
      <w:r>
        <w:rPr>
          <w:rFonts w:hint="eastAsia" w:ascii="宋体" w:hAnsi="宋体" w:eastAsia="宋体" w:cs="宋体"/>
          <w:color w:val="auto"/>
          <w:sz w:val="28"/>
          <w:szCs w:val="28"/>
          <w:highlight w:val="none"/>
          <w:u w:val="single"/>
          <w:lang w:val="en-US" w:eastAsia="zh-CN"/>
        </w:rPr>
        <w:t>与本项目相关的</w:t>
      </w:r>
      <w:r>
        <w:rPr>
          <w:rFonts w:hint="eastAsia" w:ascii="宋体" w:hAnsi="宋体" w:eastAsia="宋体" w:cs="宋体"/>
          <w:color w:val="auto"/>
          <w:sz w:val="28"/>
          <w:szCs w:val="28"/>
          <w:highlight w:val="none"/>
          <w:u w:val="single"/>
        </w:rPr>
        <w:t xml:space="preserve">所有图纸资料 </w:t>
      </w:r>
      <w:r>
        <w:rPr>
          <w:rFonts w:hint="eastAsia" w:ascii="宋体" w:hAnsi="宋体" w:eastAsia="宋体" w:cs="宋体"/>
          <w:color w:val="auto"/>
          <w:sz w:val="28"/>
          <w:szCs w:val="28"/>
          <w:highlight w:val="none"/>
        </w:rPr>
        <w:t>。</w:t>
      </w:r>
    </w:p>
    <w:p w14:paraId="45C6B17F">
      <w:pPr>
        <w:pStyle w:val="196"/>
        <w:pageBreakBefore w:val="0"/>
        <w:numPr>
          <w:ilvl w:val="0"/>
          <w:numId w:val="0"/>
        </w:numPr>
        <w:tabs>
          <w:tab w:val="left" w:pos="993"/>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1.6.4</w:t>
      </w:r>
      <w:r>
        <w:rPr>
          <w:rFonts w:hint="eastAsia" w:ascii="宋体" w:hAnsi="宋体" w:eastAsia="宋体" w:cs="宋体"/>
          <w:color w:val="auto"/>
          <w:spacing w:val="-2"/>
          <w:sz w:val="28"/>
          <w:szCs w:val="28"/>
          <w:highlight w:val="none"/>
        </w:rPr>
        <w:t>承包人文件</w:t>
      </w:r>
    </w:p>
    <w:p w14:paraId="70E3ECF6">
      <w:pPr>
        <w:pStyle w:val="19"/>
        <w:pageBreakBefore w:val="0"/>
        <w:tabs>
          <w:tab w:val="left" w:pos="8583"/>
          <w:tab w:val="left" w:pos="8694"/>
          <w:tab w:val="left" w:pos="88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需</w:t>
      </w:r>
      <w:r>
        <w:rPr>
          <w:rFonts w:hint="eastAsia" w:ascii="宋体" w:hAnsi="宋体" w:eastAsia="宋体" w:cs="宋体"/>
          <w:color w:val="auto"/>
          <w:spacing w:val="-3"/>
          <w:sz w:val="28"/>
          <w:szCs w:val="28"/>
          <w:highlight w:val="none"/>
        </w:rPr>
        <w:t>要</w:t>
      </w:r>
      <w:r>
        <w:rPr>
          <w:rFonts w:hint="eastAsia" w:ascii="宋体" w:hAnsi="宋体" w:eastAsia="宋体" w:cs="宋体"/>
          <w:color w:val="auto"/>
          <w:sz w:val="28"/>
          <w:szCs w:val="28"/>
          <w:highlight w:val="none"/>
        </w:rPr>
        <w:t>由承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的文</w:t>
      </w:r>
      <w:r>
        <w:rPr>
          <w:rFonts w:hint="eastAsia" w:ascii="宋体" w:hAnsi="宋体" w:eastAsia="宋体" w:cs="宋体"/>
          <w:color w:val="auto"/>
          <w:spacing w:val="-3"/>
          <w:sz w:val="28"/>
          <w:szCs w:val="28"/>
          <w:highlight w:val="none"/>
        </w:rPr>
        <w:t>件</w:t>
      </w:r>
      <w:r>
        <w:rPr>
          <w:rFonts w:hint="eastAsia" w:ascii="宋体" w:hAnsi="宋体" w:eastAsia="宋体" w:cs="宋体"/>
          <w:color w:val="auto"/>
          <w:sz w:val="28"/>
          <w:szCs w:val="28"/>
          <w:highlight w:val="none"/>
        </w:rPr>
        <w:t>，包</w:t>
      </w:r>
      <w:r>
        <w:rPr>
          <w:rFonts w:hint="eastAsia" w:ascii="宋体" w:hAnsi="宋体" w:eastAsia="宋体" w:cs="宋体"/>
          <w:color w:val="auto"/>
          <w:spacing w:val="-3"/>
          <w:sz w:val="28"/>
          <w:szCs w:val="28"/>
          <w:highlight w:val="none"/>
        </w:rPr>
        <w:t>括</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施工组织设计，施工技术措施及各项资源需要量的计划等；</w:t>
      </w:r>
    </w:p>
    <w:p w14:paraId="7A521C02">
      <w:pPr>
        <w:pStyle w:val="19"/>
        <w:pageBreakBefore w:val="0"/>
        <w:tabs>
          <w:tab w:val="left" w:pos="8583"/>
          <w:tab w:val="left" w:pos="8694"/>
          <w:tab w:val="left" w:pos="88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的文</w:t>
      </w:r>
      <w:r>
        <w:rPr>
          <w:rFonts w:hint="eastAsia" w:ascii="宋体" w:hAnsi="宋体" w:eastAsia="宋体" w:cs="宋体"/>
          <w:color w:val="auto"/>
          <w:spacing w:val="-3"/>
          <w:sz w:val="28"/>
          <w:szCs w:val="28"/>
          <w:highlight w:val="none"/>
        </w:rPr>
        <w:t>件</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为：</w:t>
      </w:r>
      <w:r>
        <w:rPr>
          <w:rFonts w:hint="eastAsia" w:ascii="宋体" w:hAnsi="宋体" w:eastAsia="宋体" w:cs="宋体"/>
          <w:color w:val="auto"/>
          <w:sz w:val="28"/>
          <w:szCs w:val="28"/>
          <w:highlight w:val="none"/>
          <w:lang w:val="en-US" w:eastAsia="zh-CN"/>
        </w:rPr>
        <w:t>接到中标通知书后三天内；</w:t>
      </w:r>
    </w:p>
    <w:p w14:paraId="19E5EBBF">
      <w:pPr>
        <w:pStyle w:val="19"/>
        <w:pageBreakBefore w:val="0"/>
        <w:tabs>
          <w:tab w:val="left" w:pos="8583"/>
          <w:tab w:val="left" w:pos="8694"/>
          <w:tab w:val="left" w:pos="88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u w:val="none"/>
          <w:lang w:val="en-US"/>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的文</w:t>
      </w:r>
      <w:r>
        <w:rPr>
          <w:rFonts w:hint="eastAsia" w:ascii="宋体" w:hAnsi="宋体" w:eastAsia="宋体" w:cs="宋体"/>
          <w:color w:val="auto"/>
          <w:spacing w:val="-3"/>
          <w:sz w:val="28"/>
          <w:szCs w:val="28"/>
          <w:highlight w:val="none"/>
        </w:rPr>
        <w:t>件</w:t>
      </w:r>
      <w:r>
        <w:rPr>
          <w:rFonts w:hint="eastAsia" w:ascii="宋体" w:hAnsi="宋体" w:eastAsia="宋体" w:cs="宋体"/>
          <w:color w:val="auto"/>
          <w:sz w:val="28"/>
          <w:szCs w:val="28"/>
          <w:highlight w:val="none"/>
        </w:rPr>
        <w:t>的数</w:t>
      </w:r>
      <w:r>
        <w:rPr>
          <w:rFonts w:hint="eastAsia" w:ascii="宋体" w:hAnsi="宋体" w:eastAsia="宋体" w:cs="宋体"/>
          <w:color w:val="auto"/>
          <w:spacing w:val="-3"/>
          <w:sz w:val="28"/>
          <w:szCs w:val="28"/>
          <w:highlight w:val="none"/>
        </w:rPr>
        <w:t>量</w:t>
      </w:r>
      <w:r>
        <w:rPr>
          <w:rFonts w:hint="eastAsia" w:ascii="宋体" w:hAnsi="宋体" w:eastAsia="宋体" w:cs="宋体"/>
          <w:color w:val="auto"/>
          <w:sz w:val="28"/>
          <w:szCs w:val="28"/>
          <w:highlight w:val="none"/>
        </w:rPr>
        <w:t>为：</w:t>
      </w:r>
      <w:r>
        <w:rPr>
          <w:rFonts w:hint="eastAsia" w:ascii="宋体" w:hAnsi="宋体" w:eastAsia="宋体" w:cs="宋体"/>
          <w:color w:val="auto"/>
          <w:sz w:val="28"/>
          <w:szCs w:val="28"/>
          <w:highlight w:val="none"/>
          <w:lang w:val="en-US" w:eastAsia="zh-CN"/>
        </w:rPr>
        <w:t>壹份。</w:t>
      </w:r>
    </w:p>
    <w:p w14:paraId="17C519CB">
      <w:pPr>
        <w:pStyle w:val="19"/>
        <w:pageBreakBefore w:val="0"/>
        <w:tabs>
          <w:tab w:val="left" w:pos="8583"/>
          <w:tab w:val="left" w:pos="8694"/>
          <w:tab w:val="left" w:pos="88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的文</w:t>
      </w:r>
      <w:r>
        <w:rPr>
          <w:rFonts w:hint="eastAsia" w:ascii="宋体" w:hAnsi="宋体" w:eastAsia="宋体" w:cs="宋体"/>
          <w:color w:val="auto"/>
          <w:spacing w:val="-3"/>
          <w:sz w:val="28"/>
          <w:szCs w:val="28"/>
          <w:highlight w:val="none"/>
        </w:rPr>
        <w:t>件</w:t>
      </w:r>
      <w:r>
        <w:rPr>
          <w:rFonts w:hint="eastAsia" w:ascii="宋体" w:hAnsi="宋体" w:eastAsia="宋体" w:cs="宋体"/>
          <w:color w:val="auto"/>
          <w:sz w:val="28"/>
          <w:szCs w:val="28"/>
          <w:highlight w:val="none"/>
        </w:rPr>
        <w:t>的形</w:t>
      </w:r>
      <w:r>
        <w:rPr>
          <w:rFonts w:hint="eastAsia" w:ascii="宋体" w:hAnsi="宋体" w:eastAsia="宋体" w:cs="宋体"/>
          <w:color w:val="auto"/>
          <w:spacing w:val="-3"/>
          <w:sz w:val="28"/>
          <w:szCs w:val="28"/>
          <w:highlight w:val="none"/>
        </w:rPr>
        <w:t>式</w:t>
      </w:r>
      <w:r>
        <w:rPr>
          <w:rFonts w:hint="eastAsia" w:ascii="宋体" w:hAnsi="宋体" w:eastAsia="宋体" w:cs="宋体"/>
          <w:color w:val="auto"/>
          <w:sz w:val="28"/>
          <w:szCs w:val="28"/>
          <w:highlight w:val="none"/>
        </w:rPr>
        <w:t>为：</w:t>
      </w:r>
      <w:r>
        <w:rPr>
          <w:rFonts w:hint="eastAsia" w:ascii="宋体" w:hAnsi="宋体" w:eastAsia="宋体" w:cs="宋体"/>
          <w:color w:val="auto"/>
          <w:sz w:val="28"/>
          <w:szCs w:val="28"/>
          <w:highlight w:val="none"/>
          <w:lang w:val="en-US" w:eastAsia="zh-CN"/>
        </w:rPr>
        <w:t>书面；</w:t>
      </w:r>
    </w:p>
    <w:p w14:paraId="483D12CD">
      <w:pPr>
        <w:pStyle w:val="19"/>
        <w:pageBreakBefore w:val="0"/>
        <w:tabs>
          <w:tab w:val="left" w:pos="8583"/>
          <w:tab w:val="left" w:pos="8694"/>
          <w:tab w:val="left" w:pos="88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人审</w:t>
      </w:r>
      <w:r>
        <w:rPr>
          <w:rFonts w:hint="eastAsia" w:ascii="宋体" w:hAnsi="宋体" w:eastAsia="宋体" w:cs="宋体"/>
          <w:color w:val="auto"/>
          <w:spacing w:val="-3"/>
          <w:sz w:val="28"/>
          <w:szCs w:val="28"/>
          <w:highlight w:val="none"/>
        </w:rPr>
        <w:t>批</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文件</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期限：</w:t>
      </w:r>
      <w:r>
        <w:rPr>
          <w:rFonts w:hint="eastAsia" w:ascii="宋体" w:hAnsi="宋体" w:eastAsia="宋体" w:cs="宋体"/>
          <w:color w:val="auto"/>
          <w:sz w:val="28"/>
          <w:szCs w:val="28"/>
          <w:highlight w:val="none"/>
          <w:lang w:val="en-US" w:eastAsia="zh-CN"/>
        </w:rPr>
        <w:t>在承包人提供文件后三天内审定完毕。</w:t>
      </w:r>
    </w:p>
    <w:p w14:paraId="7B9C040E">
      <w:pPr>
        <w:pStyle w:val="196"/>
        <w:pageBreakBefore w:val="0"/>
        <w:numPr>
          <w:ilvl w:val="0"/>
          <w:numId w:val="0"/>
        </w:numPr>
        <w:tabs>
          <w:tab w:val="left" w:pos="99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1.6.5</w:t>
      </w:r>
      <w:r>
        <w:rPr>
          <w:rFonts w:hint="eastAsia" w:ascii="宋体" w:hAnsi="宋体" w:eastAsia="宋体" w:cs="宋体"/>
          <w:color w:val="auto"/>
          <w:spacing w:val="-3"/>
          <w:sz w:val="28"/>
          <w:szCs w:val="28"/>
          <w:highlight w:val="none"/>
        </w:rPr>
        <w:t>现场图纸准备</w:t>
      </w:r>
    </w:p>
    <w:p w14:paraId="289CD1AD">
      <w:pPr>
        <w:pStyle w:val="19"/>
        <w:pageBreakBefore w:val="0"/>
        <w:tabs>
          <w:tab w:val="left" w:pos="847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现场</w:t>
      </w:r>
      <w:r>
        <w:rPr>
          <w:rFonts w:hint="eastAsia" w:ascii="宋体" w:hAnsi="宋体" w:eastAsia="宋体" w:cs="宋体"/>
          <w:color w:val="auto"/>
          <w:spacing w:val="-3"/>
          <w:sz w:val="28"/>
          <w:szCs w:val="28"/>
          <w:highlight w:val="none"/>
        </w:rPr>
        <w:t>图</w:t>
      </w:r>
      <w:r>
        <w:rPr>
          <w:rFonts w:hint="eastAsia" w:ascii="宋体" w:hAnsi="宋体" w:eastAsia="宋体" w:cs="宋体"/>
          <w:color w:val="auto"/>
          <w:sz w:val="28"/>
          <w:szCs w:val="28"/>
          <w:highlight w:val="none"/>
        </w:rPr>
        <w:t>纸准</w:t>
      </w:r>
      <w:r>
        <w:rPr>
          <w:rFonts w:hint="eastAsia" w:ascii="宋体" w:hAnsi="宋体" w:eastAsia="宋体" w:cs="宋体"/>
          <w:color w:val="auto"/>
          <w:spacing w:val="-3"/>
          <w:sz w:val="28"/>
          <w:szCs w:val="28"/>
          <w:highlight w:val="none"/>
        </w:rPr>
        <w:t>备</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6CD22ED1">
      <w:pPr>
        <w:pageBreakBefore w:val="0"/>
        <w:numPr>
          <w:ilvl w:val="0"/>
          <w:numId w:val="0"/>
        </w:numPr>
        <w:tabs>
          <w:tab w:val="left" w:pos="777"/>
        </w:tabs>
        <w:kinsoku/>
        <w:overflowPunct/>
        <w:topLinePunct w:val="0"/>
        <w:bidi w:val="0"/>
        <w:snapToGrid/>
        <w:spacing w:before="191" w:line="560" w:lineRule="exact"/>
        <w:ind w:left="331" w:leftChars="0" w:right="48" w:rightChars="23"/>
        <w:jc w:val="left"/>
        <w:rPr>
          <w:rFonts w:hint="eastAsia" w:ascii="宋体" w:hAnsi="宋体" w:eastAsia="宋体" w:cs="宋体"/>
          <w:b/>
          <w:color w:val="auto"/>
          <w:sz w:val="28"/>
          <w:szCs w:val="28"/>
          <w:highlight w:val="none"/>
        </w:rPr>
      </w:pPr>
      <w:bookmarkStart w:id="122" w:name="1.7 联络"/>
      <w:bookmarkEnd w:id="122"/>
      <w:bookmarkStart w:id="123" w:name="1.7 联络"/>
      <w:bookmarkEnd w:id="123"/>
      <w:r>
        <w:rPr>
          <w:rFonts w:hint="eastAsia" w:ascii="宋体" w:hAnsi="宋体" w:eastAsia="宋体" w:cs="宋体"/>
          <w:b/>
          <w:color w:val="auto"/>
          <w:sz w:val="28"/>
          <w:szCs w:val="28"/>
          <w:highlight w:val="none"/>
          <w:lang w:val="en-US" w:eastAsia="zh-CN"/>
        </w:rPr>
        <w:t>1.7</w:t>
      </w:r>
      <w:r>
        <w:rPr>
          <w:rFonts w:hint="eastAsia" w:ascii="宋体" w:hAnsi="宋体" w:eastAsia="宋体" w:cs="宋体"/>
          <w:b/>
          <w:color w:val="auto"/>
          <w:sz w:val="28"/>
          <w:szCs w:val="28"/>
          <w:highlight w:val="none"/>
        </w:rPr>
        <w:t>联络</w:t>
      </w:r>
    </w:p>
    <w:p w14:paraId="4D4C61C4">
      <w:pPr>
        <w:pStyle w:val="196"/>
        <w:pageBreakBefore w:val="0"/>
        <w:numPr>
          <w:ilvl w:val="0"/>
          <w:numId w:val="0"/>
        </w:numPr>
        <w:tabs>
          <w:tab w:val="left" w:pos="940"/>
          <w:tab w:val="left" w:pos="3798"/>
        </w:tabs>
        <w:kinsoku/>
        <w:overflowPunct/>
        <w:topLinePunct w:val="0"/>
        <w:bidi w:val="0"/>
        <w:snapToGrid/>
        <w:spacing w:before="0" w:after="0" w:line="560" w:lineRule="exact"/>
        <w:ind w:right="48" w:rightChars="23" w:firstLine="280" w:firstLineChars="1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1.7.1</w:t>
      </w: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人和</w:t>
      </w:r>
      <w:r>
        <w:rPr>
          <w:rFonts w:hint="eastAsia" w:ascii="宋体" w:hAnsi="宋体" w:eastAsia="宋体" w:cs="宋体"/>
          <w:color w:val="auto"/>
          <w:spacing w:val="-3"/>
          <w:sz w:val="28"/>
          <w:szCs w:val="28"/>
          <w:highlight w:val="none"/>
        </w:rPr>
        <w:t>承</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当</w:t>
      </w:r>
      <w:r>
        <w:rPr>
          <w:rFonts w:hint="eastAsia" w:ascii="宋体" w:hAnsi="宋体" w:eastAsia="宋体" w:cs="宋体"/>
          <w:color w:val="auto"/>
          <w:spacing w:val="-3"/>
          <w:sz w:val="28"/>
          <w:szCs w:val="28"/>
          <w:highlight w:val="none"/>
        </w:rPr>
        <w:t>在</w:t>
      </w:r>
      <w:r>
        <w:rPr>
          <w:rFonts w:hint="eastAsia" w:ascii="宋体" w:hAnsi="宋体" w:eastAsia="宋体" w:cs="宋体"/>
          <w:color w:val="auto"/>
          <w:spacing w:val="-3"/>
          <w:sz w:val="28"/>
          <w:szCs w:val="28"/>
          <w:highlight w:val="none"/>
          <w:u w:val="single"/>
        </w:rPr>
        <w:t xml:space="preserve"> </w:t>
      </w:r>
      <w:r>
        <w:rPr>
          <w:rFonts w:hint="eastAsia" w:ascii="宋体" w:hAnsi="宋体" w:eastAsia="宋体" w:cs="宋体"/>
          <w:color w:val="auto"/>
          <w:spacing w:val="-3"/>
          <w:sz w:val="28"/>
          <w:szCs w:val="28"/>
          <w:highlight w:val="none"/>
          <w:u w:val="single"/>
          <w:lang w:val="en-US" w:eastAsia="zh-CN"/>
        </w:rPr>
        <w:t xml:space="preserve"> /  </w:t>
      </w:r>
      <w:r>
        <w:rPr>
          <w:rFonts w:hint="eastAsia" w:ascii="宋体" w:hAnsi="宋体" w:eastAsia="宋体" w:cs="宋体"/>
          <w:color w:val="auto"/>
          <w:sz w:val="28"/>
          <w:szCs w:val="28"/>
          <w:highlight w:val="none"/>
        </w:rPr>
        <w:t>天</w:t>
      </w:r>
      <w:r>
        <w:rPr>
          <w:rFonts w:hint="eastAsia" w:ascii="宋体" w:hAnsi="宋体" w:eastAsia="宋体" w:cs="宋体"/>
          <w:color w:val="auto"/>
          <w:spacing w:val="-3"/>
          <w:sz w:val="28"/>
          <w:szCs w:val="28"/>
          <w:highlight w:val="none"/>
        </w:rPr>
        <w:t>内</w:t>
      </w:r>
      <w:r>
        <w:rPr>
          <w:rFonts w:hint="eastAsia" w:ascii="宋体" w:hAnsi="宋体" w:eastAsia="宋体" w:cs="宋体"/>
          <w:color w:val="auto"/>
          <w:sz w:val="28"/>
          <w:szCs w:val="28"/>
          <w:highlight w:val="none"/>
        </w:rPr>
        <w:t>将与</w:t>
      </w:r>
      <w:r>
        <w:rPr>
          <w:rFonts w:hint="eastAsia" w:ascii="宋体" w:hAnsi="宋体" w:eastAsia="宋体" w:cs="宋体"/>
          <w:color w:val="auto"/>
          <w:spacing w:val="-3"/>
          <w:sz w:val="28"/>
          <w:szCs w:val="28"/>
          <w:highlight w:val="none"/>
        </w:rPr>
        <w:t>合</w:t>
      </w:r>
      <w:r>
        <w:rPr>
          <w:rFonts w:hint="eastAsia" w:ascii="宋体" w:hAnsi="宋体" w:eastAsia="宋体" w:cs="宋体"/>
          <w:color w:val="auto"/>
          <w:sz w:val="28"/>
          <w:szCs w:val="28"/>
          <w:highlight w:val="none"/>
        </w:rPr>
        <w:t>同有</w:t>
      </w:r>
      <w:r>
        <w:rPr>
          <w:rFonts w:hint="eastAsia" w:ascii="宋体" w:hAnsi="宋体" w:eastAsia="宋体" w:cs="宋体"/>
          <w:color w:val="auto"/>
          <w:spacing w:val="-3"/>
          <w:sz w:val="28"/>
          <w:szCs w:val="28"/>
          <w:highlight w:val="none"/>
        </w:rPr>
        <w:t>关</w:t>
      </w:r>
      <w:r>
        <w:rPr>
          <w:rFonts w:hint="eastAsia" w:ascii="宋体" w:hAnsi="宋体" w:eastAsia="宋体" w:cs="宋体"/>
          <w:color w:val="auto"/>
          <w:sz w:val="28"/>
          <w:szCs w:val="28"/>
          <w:highlight w:val="none"/>
        </w:rPr>
        <w:t>的通</w:t>
      </w:r>
      <w:r>
        <w:rPr>
          <w:rFonts w:hint="eastAsia" w:ascii="宋体" w:hAnsi="宋体" w:eastAsia="宋体" w:cs="宋体"/>
          <w:color w:val="auto"/>
          <w:spacing w:val="-3"/>
          <w:sz w:val="28"/>
          <w:szCs w:val="28"/>
          <w:highlight w:val="none"/>
        </w:rPr>
        <w:t>知</w:t>
      </w:r>
      <w:r>
        <w:rPr>
          <w:rFonts w:hint="eastAsia" w:ascii="宋体" w:hAnsi="宋体" w:eastAsia="宋体" w:cs="宋体"/>
          <w:color w:val="auto"/>
          <w:sz w:val="28"/>
          <w:szCs w:val="28"/>
          <w:highlight w:val="none"/>
        </w:rPr>
        <w:t>、批</w:t>
      </w:r>
      <w:r>
        <w:rPr>
          <w:rFonts w:hint="eastAsia" w:ascii="宋体" w:hAnsi="宋体" w:eastAsia="宋体" w:cs="宋体"/>
          <w:color w:val="auto"/>
          <w:spacing w:val="-3"/>
          <w:sz w:val="28"/>
          <w:szCs w:val="28"/>
          <w:highlight w:val="none"/>
        </w:rPr>
        <w:t>准</w:t>
      </w:r>
      <w:r>
        <w:rPr>
          <w:rFonts w:hint="eastAsia" w:ascii="宋体" w:hAnsi="宋体" w:eastAsia="宋体" w:cs="宋体"/>
          <w:color w:val="auto"/>
          <w:sz w:val="28"/>
          <w:szCs w:val="28"/>
          <w:highlight w:val="none"/>
        </w:rPr>
        <w:t>、证</w:t>
      </w:r>
      <w:r>
        <w:rPr>
          <w:rFonts w:hint="eastAsia" w:ascii="宋体" w:hAnsi="宋体" w:eastAsia="宋体" w:cs="宋体"/>
          <w:color w:val="auto"/>
          <w:spacing w:val="-3"/>
          <w:sz w:val="28"/>
          <w:szCs w:val="28"/>
          <w:highlight w:val="none"/>
        </w:rPr>
        <w:t>明</w:t>
      </w:r>
      <w:r>
        <w:rPr>
          <w:rFonts w:hint="eastAsia" w:ascii="宋体" w:hAnsi="宋体" w:eastAsia="宋体" w:cs="宋体"/>
          <w:color w:val="auto"/>
          <w:sz w:val="28"/>
          <w:szCs w:val="28"/>
          <w:highlight w:val="none"/>
        </w:rPr>
        <w:t>、证</w:t>
      </w:r>
      <w:r>
        <w:rPr>
          <w:rFonts w:hint="eastAsia" w:ascii="宋体" w:hAnsi="宋体" w:eastAsia="宋体" w:cs="宋体"/>
          <w:color w:val="auto"/>
          <w:spacing w:val="-3"/>
          <w:sz w:val="28"/>
          <w:szCs w:val="28"/>
          <w:highlight w:val="none"/>
        </w:rPr>
        <w:t>书</w:t>
      </w:r>
      <w:r>
        <w:rPr>
          <w:rFonts w:hint="eastAsia" w:ascii="宋体" w:hAnsi="宋体" w:eastAsia="宋体" w:cs="宋体"/>
          <w:color w:val="auto"/>
          <w:sz w:val="28"/>
          <w:szCs w:val="28"/>
          <w:highlight w:val="none"/>
        </w:rPr>
        <w:t>、指</w:t>
      </w:r>
      <w:r>
        <w:rPr>
          <w:rFonts w:hint="eastAsia" w:ascii="宋体" w:hAnsi="宋体" w:eastAsia="宋体" w:cs="宋体"/>
          <w:color w:val="auto"/>
          <w:spacing w:val="-3"/>
          <w:sz w:val="28"/>
          <w:szCs w:val="28"/>
          <w:highlight w:val="none"/>
        </w:rPr>
        <w:t>示</w:t>
      </w:r>
      <w:r>
        <w:rPr>
          <w:rFonts w:hint="eastAsia" w:ascii="宋体" w:hAnsi="宋体" w:eastAsia="宋体" w:cs="宋体"/>
          <w:color w:val="auto"/>
          <w:sz w:val="28"/>
          <w:szCs w:val="28"/>
          <w:highlight w:val="none"/>
        </w:rPr>
        <w:t>、指</w:t>
      </w:r>
      <w:r>
        <w:rPr>
          <w:rFonts w:hint="eastAsia" w:ascii="宋体" w:hAnsi="宋体" w:eastAsia="宋体" w:cs="宋体"/>
          <w:color w:val="auto"/>
          <w:spacing w:val="-3"/>
          <w:sz w:val="28"/>
          <w:szCs w:val="28"/>
          <w:highlight w:val="none"/>
        </w:rPr>
        <w:t>令</w:t>
      </w:r>
      <w:r>
        <w:rPr>
          <w:rFonts w:hint="eastAsia" w:ascii="宋体" w:hAnsi="宋体" w:eastAsia="宋体" w:cs="宋体"/>
          <w:color w:val="auto"/>
          <w:sz w:val="28"/>
          <w:szCs w:val="28"/>
          <w:highlight w:val="none"/>
        </w:rPr>
        <w:t>、要求</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请求</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同意</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意见</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确定</w:t>
      </w:r>
      <w:r>
        <w:rPr>
          <w:rFonts w:hint="eastAsia" w:ascii="宋体" w:hAnsi="宋体" w:eastAsia="宋体" w:cs="宋体"/>
          <w:color w:val="auto"/>
          <w:spacing w:val="-3"/>
          <w:sz w:val="28"/>
          <w:szCs w:val="28"/>
          <w:highlight w:val="none"/>
        </w:rPr>
        <w:t>和</w:t>
      </w:r>
      <w:r>
        <w:rPr>
          <w:rFonts w:hint="eastAsia" w:ascii="宋体" w:hAnsi="宋体" w:eastAsia="宋体" w:cs="宋体"/>
          <w:color w:val="auto"/>
          <w:sz w:val="28"/>
          <w:szCs w:val="28"/>
          <w:highlight w:val="none"/>
        </w:rPr>
        <w:t>决定</w:t>
      </w:r>
      <w:r>
        <w:rPr>
          <w:rFonts w:hint="eastAsia" w:ascii="宋体" w:hAnsi="宋体" w:eastAsia="宋体" w:cs="宋体"/>
          <w:color w:val="auto"/>
          <w:spacing w:val="-3"/>
          <w:sz w:val="28"/>
          <w:szCs w:val="28"/>
          <w:highlight w:val="none"/>
        </w:rPr>
        <w:t>等</w:t>
      </w:r>
      <w:r>
        <w:rPr>
          <w:rFonts w:hint="eastAsia" w:ascii="宋体" w:hAnsi="宋体" w:eastAsia="宋体" w:cs="宋体"/>
          <w:color w:val="auto"/>
          <w:sz w:val="28"/>
          <w:szCs w:val="28"/>
          <w:highlight w:val="none"/>
        </w:rPr>
        <w:t>书面</w:t>
      </w:r>
      <w:r>
        <w:rPr>
          <w:rFonts w:hint="eastAsia" w:ascii="宋体" w:hAnsi="宋体" w:eastAsia="宋体" w:cs="宋体"/>
          <w:color w:val="auto"/>
          <w:spacing w:val="-3"/>
          <w:sz w:val="28"/>
          <w:szCs w:val="28"/>
          <w:highlight w:val="none"/>
        </w:rPr>
        <w:t>函</w:t>
      </w:r>
      <w:r>
        <w:rPr>
          <w:rFonts w:hint="eastAsia" w:ascii="宋体" w:hAnsi="宋体" w:eastAsia="宋体" w:cs="宋体"/>
          <w:color w:val="auto"/>
          <w:sz w:val="28"/>
          <w:szCs w:val="28"/>
          <w:highlight w:val="none"/>
        </w:rPr>
        <w:t>件送</w:t>
      </w:r>
      <w:r>
        <w:rPr>
          <w:rFonts w:hint="eastAsia" w:ascii="宋体" w:hAnsi="宋体" w:eastAsia="宋体" w:cs="宋体"/>
          <w:color w:val="auto"/>
          <w:spacing w:val="-3"/>
          <w:sz w:val="28"/>
          <w:szCs w:val="28"/>
          <w:highlight w:val="none"/>
        </w:rPr>
        <w:t>达</w:t>
      </w:r>
      <w:r>
        <w:rPr>
          <w:rFonts w:hint="eastAsia" w:ascii="宋体" w:hAnsi="宋体" w:eastAsia="宋体" w:cs="宋体"/>
          <w:color w:val="auto"/>
          <w:sz w:val="28"/>
          <w:szCs w:val="28"/>
          <w:highlight w:val="none"/>
        </w:rPr>
        <w:t>对方</w:t>
      </w:r>
      <w:r>
        <w:rPr>
          <w:rFonts w:hint="eastAsia" w:ascii="宋体" w:hAnsi="宋体" w:eastAsia="宋体" w:cs="宋体"/>
          <w:color w:val="auto"/>
          <w:spacing w:val="-3"/>
          <w:sz w:val="28"/>
          <w:szCs w:val="28"/>
          <w:highlight w:val="none"/>
        </w:rPr>
        <w:t>当</w:t>
      </w:r>
      <w:r>
        <w:rPr>
          <w:rFonts w:hint="eastAsia" w:ascii="宋体" w:hAnsi="宋体" w:eastAsia="宋体" w:cs="宋体"/>
          <w:color w:val="auto"/>
          <w:sz w:val="28"/>
          <w:szCs w:val="28"/>
          <w:highlight w:val="none"/>
        </w:rPr>
        <w:t>事人。</w:t>
      </w:r>
    </w:p>
    <w:p w14:paraId="5A49C957">
      <w:pPr>
        <w:pStyle w:val="196"/>
        <w:pageBreakBefore w:val="0"/>
        <w:numPr>
          <w:ilvl w:val="0"/>
          <w:numId w:val="0"/>
        </w:numPr>
        <w:tabs>
          <w:tab w:val="left" w:pos="993"/>
          <w:tab w:val="left" w:pos="6164"/>
          <w:tab w:val="left" w:pos="6272"/>
        </w:tabs>
        <w:kinsoku/>
        <w:overflowPunct/>
        <w:topLinePunct w:val="0"/>
        <w:bidi w:val="0"/>
        <w:snapToGrid/>
        <w:spacing w:before="0" w:after="0" w:line="560" w:lineRule="exact"/>
        <w:ind w:left="332"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1.7.2</w:t>
      </w: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人接</w:t>
      </w:r>
      <w:r>
        <w:rPr>
          <w:rFonts w:hint="eastAsia" w:ascii="宋体" w:hAnsi="宋体" w:eastAsia="宋体" w:cs="宋体"/>
          <w:color w:val="auto"/>
          <w:spacing w:val="-3"/>
          <w:sz w:val="28"/>
          <w:szCs w:val="28"/>
          <w:highlight w:val="none"/>
        </w:rPr>
        <w:t>收</w:t>
      </w:r>
      <w:r>
        <w:rPr>
          <w:rFonts w:hint="eastAsia" w:ascii="宋体" w:hAnsi="宋体" w:eastAsia="宋体" w:cs="宋体"/>
          <w:color w:val="auto"/>
          <w:sz w:val="28"/>
          <w:szCs w:val="28"/>
          <w:highlight w:val="none"/>
        </w:rPr>
        <w:t>文件</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地点：</w:t>
      </w:r>
      <w:r>
        <w:rPr>
          <w:rFonts w:hint="eastAsia" w:ascii="宋体" w:hAnsi="宋体" w:eastAsia="宋体" w:cs="宋体"/>
          <w:color w:val="auto"/>
          <w:sz w:val="28"/>
          <w:szCs w:val="28"/>
          <w:highlight w:val="none"/>
          <w:lang w:val="en-US" w:eastAsia="zh-CN"/>
        </w:rPr>
        <w:t>业主所在单位；</w:t>
      </w:r>
    </w:p>
    <w:p w14:paraId="24B6EF1A">
      <w:pPr>
        <w:pStyle w:val="196"/>
        <w:pageBreakBefore w:val="0"/>
        <w:numPr>
          <w:ilvl w:val="0"/>
          <w:numId w:val="0"/>
        </w:numPr>
        <w:tabs>
          <w:tab w:val="left" w:pos="993"/>
          <w:tab w:val="left" w:pos="6164"/>
          <w:tab w:val="left" w:pos="6272"/>
        </w:tabs>
        <w:kinsoku/>
        <w:overflowPunct/>
        <w:topLinePunct w:val="0"/>
        <w:bidi w:val="0"/>
        <w:snapToGrid/>
        <w:spacing w:before="0" w:after="0" w:line="560" w:lineRule="exact"/>
        <w:ind w:left="332"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1.7.3</w:t>
      </w: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人指</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的接</w:t>
      </w:r>
      <w:r>
        <w:rPr>
          <w:rFonts w:hint="eastAsia" w:ascii="宋体" w:hAnsi="宋体" w:eastAsia="宋体" w:cs="宋体"/>
          <w:color w:val="auto"/>
          <w:spacing w:val="-3"/>
          <w:sz w:val="28"/>
          <w:szCs w:val="28"/>
          <w:highlight w:val="none"/>
        </w:rPr>
        <w:t>收</w:t>
      </w:r>
      <w:r>
        <w:rPr>
          <w:rFonts w:hint="eastAsia" w:ascii="宋体" w:hAnsi="宋体" w:eastAsia="宋体" w:cs="宋体"/>
          <w:color w:val="auto"/>
          <w:sz w:val="28"/>
          <w:szCs w:val="28"/>
          <w:highlight w:val="none"/>
        </w:rPr>
        <w:t>人为：</w:t>
      </w:r>
      <w:r>
        <w:rPr>
          <w:rFonts w:hint="eastAsia" w:ascii="宋体" w:hAnsi="宋体" w:eastAsia="宋体" w:cs="宋体"/>
          <w:color w:val="auto"/>
          <w:sz w:val="28"/>
          <w:szCs w:val="28"/>
          <w:highlight w:val="none"/>
          <w:lang w:val="en-US" w:eastAsia="zh-CN"/>
        </w:rPr>
        <w:t>业主派驻现场代表。</w:t>
      </w:r>
    </w:p>
    <w:p w14:paraId="2E8ABA74">
      <w:pPr>
        <w:pStyle w:val="19"/>
        <w:pageBreakBefore w:val="0"/>
        <w:tabs>
          <w:tab w:val="left" w:pos="6054"/>
          <w:tab w:val="left" w:pos="6164"/>
        </w:tabs>
        <w:kinsoku/>
        <w:overflowPunct/>
        <w:topLinePunct w:val="0"/>
        <w:bidi w:val="0"/>
        <w:snapToGrid/>
        <w:spacing w:before="50"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人接</w:t>
      </w:r>
      <w:r>
        <w:rPr>
          <w:rFonts w:hint="eastAsia" w:ascii="宋体" w:hAnsi="宋体" w:eastAsia="宋体" w:cs="宋体"/>
          <w:color w:val="auto"/>
          <w:spacing w:val="-3"/>
          <w:sz w:val="28"/>
          <w:szCs w:val="28"/>
          <w:highlight w:val="none"/>
        </w:rPr>
        <w:t>收</w:t>
      </w:r>
      <w:r>
        <w:rPr>
          <w:rFonts w:hint="eastAsia" w:ascii="宋体" w:hAnsi="宋体" w:eastAsia="宋体" w:cs="宋体"/>
          <w:color w:val="auto"/>
          <w:sz w:val="28"/>
          <w:szCs w:val="28"/>
          <w:highlight w:val="none"/>
        </w:rPr>
        <w:t>文件</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地点：</w:t>
      </w:r>
      <w:r>
        <w:rPr>
          <w:rFonts w:hint="eastAsia" w:ascii="宋体" w:hAnsi="宋体" w:eastAsia="宋体" w:cs="宋体"/>
          <w:color w:val="auto"/>
          <w:sz w:val="28"/>
          <w:szCs w:val="28"/>
          <w:highlight w:val="none"/>
          <w:lang w:val="en-US" w:eastAsia="zh-CN"/>
        </w:rPr>
        <w:t>承包人施工现场项目部；</w:t>
      </w:r>
    </w:p>
    <w:p w14:paraId="481D4742">
      <w:pPr>
        <w:pStyle w:val="19"/>
        <w:pageBreakBefore w:val="0"/>
        <w:tabs>
          <w:tab w:val="left" w:pos="6054"/>
          <w:tab w:val="left" w:pos="6164"/>
        </w:tabs>
        <w:kinsoku/>
        <w:overflowPunct/>
        <w:topLinePunct w:val="0"/>
        <w:bidi w:val="0"/>
        <w:snapToGrid/>
        <w:spacing w:before="50"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人指</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的接</w:t>
      </w:r>
      <w:r>
        <w:rPr>
          <w:rFonts w:hint="eastAsia" w:ascii="宋体" w:hAnsi="宋体" w:eastAsia="宋体" w:cs="宋体"/>
          <w:color w:val="auto"/>
          <w:spacing w:val="-3"/>
          <w:sz w:val="28"/>
          <w:szCs w:val="28"/>
          <w:highlight w:val="none"/>
        </w:rPr>
        <w:t>收</w:t>
      </w:r>
      <w:r>
        <w:rPr>
          <w:rFonts w:hint="eastAsia" w:ascii="宋体" w:hAnsi="宋体" w:eastAsia="宋体" w:cs="宋体"/>
          <w:color w:val="auto"/>
          <w:sz w:val="28"/>
          <w:szCs w:val="28"/>
          <w:highlight w:val="none"/>
        </w:rPr>
        <w:t>人为：</w:t>
      </w:r>
      <w:r>
        <w:rPr>
          <w:rFonts w:hint="eastAsia" w:ascii="宋体" w:hAnsi="宋体" w:eastAsia="宋体" w:cs="宋体"/>
          <w:color w:val="auto"/>
          <w:sz w:val="28"/>
          <w:szCs w:val="28"/>
          <w:highlight w:val="none"/>
          <w:lang w:val="en-US" w:eastAsia="zh-CN"/>
        </w:rPr>
        <w:t>项目经理。</w:t>
      </w:r>
    </w:p>
    <w:p w14:paraId="0D53CD2E">
      <w:pPr>
        <w:pStyle w:val="19"/>
        <w:pageBreakBefore w:val="0"/>
        <w:tabs>
          <w:tab w:val="left" w:pos="6054"/>
          <w:tab w:val="left" w:pos="6164"/>
        </w:tabs>
        <w:kinsoku/>
        <w:overflowPunct/>
        <w:topLinePunct w:val="0"/>
        <w:bidi w:val="0"/>
        <w:snapToGrid/>
        <w:spacing w:before="50"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人接</w:t>
      </w:r>
      <w:r>
        <w:rPr>
          <w:rFonts w:hint="eastAsia" w:ascii="宋体" w:hAnsi="宋体" w:eastAsia="宋体" w:cs="宋体"/>
          <w:color w:val="auto"/>
          <w:spacing w:val="-3"/>
          <w:sz w:val="28"/>
          <w:szCs w:val="28"/>
          <w:highlight w:val="none"/>
        </w:rPr>
        <w:t>收</w:t>
      </w:r>
      <w:r>
        <w:rPr>
          <w:rFonts w:hint="eastAsia" w:ascii="宋体" w:hAnsi="宋体" w:eastAsia="宋体" w:cs="宋体"/>
          <w:color w:val="auto"/>
          <w:sz w:val="28"/>
          <w:szCs w:val="28"/>
          <w:highlight w:val="none"/>
        </w:rPr>
        <w:t>文件</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地点：</w:t>
      </w:r>
      <w:r>
        <w:rPr>
          <w:rFonts w:hint="eastAsia" w:ascii="宋体" w:hAnsi="宋体" w:eastAsia="宋体" w:cs="宋体"/>
          <w:color w:val="auto"/>
          <w:sz w:val="28"/>
          <w:szCs w:val="28"/>
          <w:highlight w:val="none"/>
          <w:lang w:val="en-US" w:eastAsia="zh-CN"/>
        </w:rPr>
        <w:t>监理人施工现场监理办公室；</w:t>
      </w:r>
    </w:p>
    <w:p w14:paraId="19959C08">
      <w:pPr>
        <w:pStyle w:val="19"/>
        <w:pageBreakBefore w:val="0"/>
        <w:tabs>
          <w:tab w:val="left" w:pos="6054"/>
          <w:tab w:val="left" w:pos="6164"/>
        </w:tabs>
        <w:kinsoku/>
        <w:overflowPunct/>
        <w:topLinePunct w:val="0"/>
        <w:bidi w:val="0"/>
        <w:snapToGrid/>
        <w:spacing w:before="5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人指</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的接</w:t>
      </w:r>
      <w:r>
        <w:rPr>
          <w:rFonts w:hint="eastAsia" w:ascii="宋体" w:hAnsi="宋体" w:eastAsia="宋体" w:cs="宋体"/>
          <w:color w:val="auto"/>
          <w:spacing w:val="-3"/>
          <w:sz w:val="28"/>
          <w:szCs w:val="28"/>
          <w:highlight w:val="none"/>
        </w:rPr>
        <w:t>收</w:t>
      </w:r>
      <w:r>
        <w:rPr>
          <w:rFonts w:hint="eastAsia" w:ascii="宋体" w:hAnsi="宋体" w:eastAsia="宋体" w:cs="宋体"/>
          <w:color w:val="auto"/>
          <w:sz w:val="28"/>
          <w:szCs w:val="28"/>
          <w:highlight w:val="none"/>
        </w:rPr>
        <w:t>人为：</w:t>
      </w:r>
      <w:r>
        <w:rPr>
          <w:rFonts w:hint="eastAsia" w:ascii="宋体" w:hAnsi="宋体" w:eastAsia="宋体" w:cs="宋体"/>
          <w:color w:val="auto"/>
          <w:sz w:val="28"/>
          <w:szCs w:val="28"/>
          <w:highlight w:val="none"/>
          <w:lang w:val="en-US" w:eastAsia="zh-CN"/>
        </w:rPr>
        <w:t>总监或总监代表。</w:t>
      </w:r>
    </w:p>
    <w:p w14:paraId="4D0565F1">
      <w:pPr>
        <w:pageBreakBefore w:val="0"/>
        <w:numPr>
          <w:ilvl w:val="1"/>
          <w:numId w:val="9"/>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bookmarkStart w:id="124" w:name="1.10 交通运输"/>
      <w:bookmarkEnd w:id="124"/>
      <w:bookmarkStart w:id="125" w:name="1.10 交通运输"/>
      <w:bookmarkEnd w:id="125"/>
      <w:r>
        <w:rPr>
          <w:rFonts w:hint="eastAsia" w:ascii="宋体" w:hAnsi="宋体" w:eastAsia="宋体" w:cs="宋体"/>
          <w:b/>
          <w:color w:val="auto"/>
          <w:sz w:val="28"/>
          <w:szCs w:val="28"/>
          <w:highlight w:val="none"/>
        </w:rPr>
        <w:t>交通运输</w:t>
      </w:r>
    </w:p>
    <w:p w14:paraId="050604D3">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1.10.1</w:t>
      </w:r>
      <w:r>
        <w:rPr>
          <w:rFonts w:hint="eastAsia" w:ascii="宋体" w:hAnsi="宋体" w:eastAsia="宋体" w:cs="宋体"/>
          <w:color w:val="auto"/>
          <w:spacing w:val="-3"/>
          <w:sz w:val="28"/>
          <w:szCs w:val="28"/>
          <w:highlight w:val="none"/>
        </w:rPr>
        <w:t>出入现场的权利</w:t>
      </w:r>
    </w:p>
    <w:p w14:paraId="3CFD83F5">
      <w:pPr>
        <w:pStyle w:val="19"/>
        <w:pageBreakBefore w:val="0"/>
        <w:tabs>
          <w:tab w:val="left" w:pos="8694"/>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出入</w:t>
      </w:r>
      <w:r>
        <w:rPr>
          <w:rFonts w:hint="eastAsia" w:ascii="宋体" w:hAnsi="宋体" w:eastAsia="宋体" w:cs="宋体"/>
          <w:color w:val="auto"/>
          <w:spacing w:val="-3"/>
          <w:sz w:val="28"/>
          <w:szCs w:val="28"/>
          <w:highlight w:val="none"/>
        </w:rPr>
        <w:t>现</w:t>
      </w:r>
      <w:r>
        <w:rPr>
          <w:rFonts w:hint="eastAsia" w:ascii="宋体" w:hAnsi="宋体" w:eastAsia="宋体" w:cs="宋体"/>
          <w:color w:val="auto"/>
          <w:sz w:val="28"/>
          <w:szCs w:val="28"/>
          <w:highlight w:val="none"/>
        </w:rPr>
        <w:t>场的</w:t>
      </w:r>
      <w:r>
        <w:rPr>
          <w:rFonts w:hint="eastAsia" w:ascii="宋体" w:hAnsi="宋体" w:eastAsia="宋体" w:cs="宋体"/>
          <w:color w:val="auto"/>
          <w:spacing w:val="-3"/>
          <w:sz w:val="28"/>
          <w:szCs w:val="28"/>
          <w:highlight w:val="none"/>
        </w:rPr>
        <w:t>权</w:t>
      </w:r>
      <w:r>
        <w:rPr>
          <w:rFonts w:hint="eastAsia" w:ascii="宋体" w:hAnsi="宋体" w:eastAsia="宋体" w:cs="宋体"/>
          <w:color w:val="auto"/>
          <w:sz w:val="28"/>
          <w:szCs w:val="28"/>
          <w:highlight w:val="none"/>
        </w:rPr>
        <w:t>利的</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r>
        <w:rPr>
          <w:rFonts w:hint="eastAsia" w:ascii="宋体" w:hAnsi="宋体" w:eastAsia="宋体" w:cs="宋体"/>
          <w:color w:val="auto"/>
          <w:sz w:val="28"/>
          <w:szCs w:val="28"/>
          <w:highlight w:val="none"/>
          <w:u w:val="single"/>
          <w:lang w:val="en-US" w:eastAsia="zh-CN"/>
        </w:rPr>
        <w:t>/</w:t>
      </w:r>
    </w:p>
    <w:p w14:paraId="13A978E3">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1.10.3</w:t>
      </w:r>
      <w:r>
        <w:rPr>
          <w:rFonts w:hint="eastAsia" w:ascii="宋体" w:hAnsi="宋体" w:eastAsia="宋体" w:cs="宋体"/>
          <w:color w:val="auto"/>
          <w:spacing w:val="-2"/>
          <w:sz w:val="28"/>
          <w:szCs w:val="28"/>
          <w:highlight w:val="none"/>
        </w:rPr>
        <w:t>场内交通</w:t>
      </w:r>
    </w:p>
    <w:p w14:paraId="06E069A0">
      <w:pPr>
        <w:pStyle w:val="19"/>
        <w:pageBreakBefore w:val="0"/>
        <w:tabs>
          <w:tab w:val="left" w:pos="869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场外</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通和</w:t>
      </w:r>
      <w:r>
        <w:rPr>
          <w:rFonts w:hint="eastAsia" w:ascii="宋体" w:hAnsi="宋体" w:eastAsia="宋体" w:cs="宋体"/>
          <w:color w:val="auto"/>
          <w:spacing w:val="-3"/>
          <w:sz w:val="28"/>
          <w:szCs w:val="28"/>
          <w:highlight w:val="none"/>
        </w:rPr>
        <w:t>场</w:t>
      </w:r>
      <w:r>
        <w:rPr>
          <w:rFonts w:hint="eastAsia" w:ascii="宋体" w:hAnsi="宋体" w:eastAsia="宋体" w:cs="宋体"/>
          <w:color w:val="auto"/>
          <w:sz w:val="28"/>
          <w:szCs w:val="28"/>
          <w:highlight w:val="none"/>
        </w:rPr>
        <w:t>内交</w:t>
      </w:r>
      <w:r>
        <w:rPr>
          <w:rFonts w:hint="eastAsia" w:ascii="宋体" w:hAnsi="宋体" w:eastAsia="宋体" w:cs="宋体"/>
          <w:color w:val="auto"/>
          <w:spacing w:val="-3"/>
          <w:sz w:val="28"/>
          <w:szCs w:val="28"/>
          <w:highlight w:val="none"/>
        </w:rPr>
        <w:t>通</w:t>
      </w:r>
      <w:r>
        <w:rPr>
          <w:rFonts w:hint="eastAsia" w:ascii="宋体" w:hAnsi="宋体" w:eastAsia="宋体" w:cs="宋体"/>
          <w:color w:val="auto"/>
          <w:sz w:val="28"/>
          <w:szCs w:val="28"/>
          <w:highlight w:val="none"/>
        </w:rPr>
        <w:t>的边</w:t>
      </w:r>
      <w:r>
        <w:rPr>
          <w:rFonts w:hint="eastAsia" w:ascii="宋体" w:hAnsi="宋体" w:eastAsia="宋体" w:cs="宋体"/>
          <w:color w:val="auto"/>
          <w:spacing w:val="-3"/>
          <w:sz w:val="28"/>
          <w:szCs w:val="28"/>
          <w:highlight w:val="none"/>
        </w:rPr>
        <w:t>界</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57C430DA">
      <w:pPr>
        <w:pStyle w:val="19"/>
        <w:pageBreakBefore w:val="0"/>
        <w:tabs>
          <w:tab w:val="left" w:pos="8034"/>
        </w:tabs>
        <w:kinsoku/>
        <w:overflowPunct/>
        <w:topLinePunct w:val="0"/>
        <w:bidi w:val="0"/>
        <w:snapToGrid/>
        <w:spacing w:before="77"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pacing w:val="-1"/>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pacing w:val="-1"/>
          <w:sz w:val="28"/>
          <w:szCs w:val="28"/>
          <w:highlight w:val="none"/>
        </w:rPr>
        <w:t>向承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pacing w:val="-1"/>
          <w:sz w:val="28"/>
          <w:szCs w:val="28"/>
          <w:highlight w:val="none"/>
        </w:rPr>
        <w:t>人免</w:t>
      </w:r>
      <w:r>
        <w:rPr>
          <w:rFonts w:hint="eastAsia" w:ascii="宋体" w:hAnsi="宋体" w:eastAsia="宋体" w:cs="宋体"/>
          <w:color w:val="auto"/>
          <w:spacing w:val="-3"/>
          <w:sz w:val="28"/>
          <w:szCs w:val="28"/>
          <w:highlight w:val="none"/>
        </w:rPr>
        <w:t>费</w:t>
      </w:r>
      <w:r>
        <w:rPr>
          <w:rFonts w:hint="eastAsia" w:ascii="宋体" w:hAnsi="宋体" w:eastAsia="宋体" w:cs="宋体"/>
          <w:color w:val="auto"/>
          <w:spacing w:val="-1"/>
          <w:sz w:val="28"/>
          <w:szCs w:val="28"/>
          <w:highlight w:val="none"/>
        </w:rPr>
        <w:t>提供</w:t>
      </w:r>
      <w:r>
        <w:rPr>
          <w:rFonts w:hint="eastAsia" w:ascii="宋体" w:hAnsi="宋体" w:eastAsia="宋体" w:cs="宋体"/>
          <w:color w:val="auto"/>
          <w:spacing w:val="-3"/>
          <w:sz w:val="28"/>
          <w:szCs w:val="28"/>
          <w:highlight w:val="none"/>
        </w:rPr>
        <w:t>满</w:t>
      </w:r>
      <w:r>
        <w:rPr>
          <w:rFonts w:hint="eastAsia" w:ascii="宋体" w:hAnsi="宋体" w:eastAsia="宋体" w:cs="宋体"/>
          <w:color w:val="auto"/>
          <w:spacing w:val="-1"/>
          <w:sz w:val="28"/>
          <w:szCs w:val="28"/>
          <w:highlight w:val="none"/>
        </w:rPr>
        <w:t>足工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pacing w:val="-1"/>
          <w:sz w:val="28"/>
          <w:szCs w:val="28"/>
          <w:highlight w:val="none"/>
        </w:rPr>
        <w:t>施工</w:t>
      </w:r>
      <w:r>
        <w:rPr>
          <w:rFonts w:hint="eastAsia" w:ascii="宋体" w:hAnsi="宋体" w:eastAsia="宋体" w:cs="宋体"/>
          <w:color w:val="auto"/>
          <w:spacing w:val="-3"/>
          <w:sz w:val="28"/>
          <w:szCs w:val="28"/>
          <w:highlight w:val="none"/>
        </w:rPr>
        <w:t>需</w:t>
      </w:r>
      <w:r>
        <w:rPr>
          <w:rFonts w:hint="eastAsia" w:ascii="宋体" w:hAnsi="宋体" w:eastAsia="宋体" w:cs="宋体"/>
          <w:color w:val="auto"/>
          <w:spacing w:val="-1"/>
          <w:sz w:val="28"/>
          <w:szCs w:val="28"/>
          <w:highlight w:val="none"/>
        </w:rPr>
        <w:t>要的</w:t>
      </w:r>
      <w:r>
        <w:rPr>
          <w:rFonts w:hint="eastAsia" w:ascii="宋体" w:hAnsi="宋体" w:eastAsia="宋体" w:cs="宋体"/>
          <w:color w:val="auto"/>
          <w:spacing w:val="-3"/>
          <w:sz w:val="28"/>
          <w:szCs w:val="28"/>
          <w:highlight w:val="none"/>
        </w:rPr>
        <w:t>场</w:t>
      </w:r>
      <w:r>
        <w:rPr>
          <w:rFonts w:hint="eastAsia" w:ascii="宋体" w:hAnsi="宋体" w:eastAsia="宋体" w:cs="宋体"/>
          <w:color w:val="auto"/>
          <w:spacing w:val="-1"/>
          <w:sz w:val="28"/>
          <w:szCs w:val="28"/>
          <w:highlight w:val="none"/>
        </w:rPr>
        <w:t>内道</w:t>
      </w:r>
      <w:r>
        <w:rPr>
          <w:rFonts w:hint="eastAsia" w:ascii="宋体" w:hAnsi="宋体" w:eastAsia="宋体" w:cs="宋体"/>
          <w:color w:val="auto"/>
          <w:spacing w:val="-3"/>
          <w:sz w:val="28"/>
          <w:szCs w:val="28"/>
          <w:highlight w:val="none"/>
        </w:rPr>
        <w:t>路</w:t>
      </w:r>
      <w:r>
        <w:rPr>
          <w:rFonts w:hint="eastAsia" w:ascii="宋体" w:hAnsi="宋体" w:eastAsia="宋体" w:cs="宋体"/>
          <w:color w:val="auto"/>
          <w:spacing w:val="-1"/>
          <w:sz w:val="28"/>
          <w:szCs w:val="28"/>
          <w:highlight w:val="none"/>
        </w:rPr>
        <w:t>和交</w:t>
      </w:r>
      <w:r>
        <w:rPr>
          <w:rFonts w:hint="eastAsia" w:ascii="宋体" w:hAnsi="宋体" w:eastAsia="宋体" w:cs="宋体"/>
          <w:color w:val="auto"/>
          <w:spacing w:val="-3"/>
          <w:sz w:val="28"/>
          <w:szCs w:val="28"/>
          <w:highlight w:val="none"/>
        </w:rPr>
        <w:t>通</w:t>
      </w:r>
      <w:r>
        <w:rPr>
          <w:rFonts w:hint="eastAsia" w:ascii="宋体" w:hAnsi="宋体" w:eastAsia="宋体" w:cs="宋体"/>
          <w:color w:val="auto"/>
          <w:spacing w:val="-1"/>
          <w:sz w:val="28"/>
          <w:szCs w:val="28"/>
          <w:highlight w:val="none"/>
        </w:rPr>
        <w:t>设施</w:t>
      </w:r>
      <w:r>
        <w:rPr>
          <w:rFonts w:hint="eastAsia" w:ascii="宋体" w:hAnsi="宋体" w:eastAsia="宋体" w:cs="宋体"/>
          <w:color w:val="auto"/>
          <w:spacing w:val="-3"/>
          <w:sz w:val="28"/>
          <w:szCs w:val="28"/>
          <w:highlight w:val="none"/>
        </w:rPr>
        <w:t>的</w:t>
      </w:r>
      <w:r>
        <w:rPr>
          <w:rFonts w:hint="eastAsia" w:ascii="宋体" w:hAnsi="宋体" w:eastAsia="宋体" w:cs="宋体"/>
          <w:color w:val="auto"/>
          <w:spacing w:val="-1"/>
          <w:sz w:val="28"/>
          <w:szCs w:val="28"/>
          <w:highlight w:val="none"/>
        </w:rPr>
        <w:t>约定</w:t>
      </w:r>
      <w:r>
        <w:rPr>
          <w:rFonts w:hint="eastAsia" w:ascii="宋体" w:hAnsi="宋体" w:eastAsia="宋体" w:cs="宋体"/>
          <w:color w:val="auto"/>
          <w:spacing w:val="-39"/>
          <w:sz w:val="28"/>
          <w:szCs w:val="28"/>
          <w:highlight w:val="none"/>
        </w:rPr>
        <w:t>：</w:t>
      </w:r>
      <w:r>
        <w:rPr>
          <w:rFonts w:hint="eastAsia" w:ascii="宋体" w:hAnsi="宋体" w:eastAsia="宋体" w:cs="宋体"/>
          <w:color w:val="auto"/>
          <w:sz w:val="28"/>
          <w:szCs w:val="28"/>
          <w:highlight w:val="none"/>
          <w:u w:val="single"/>
          <w:lang w:val="en-US" w:eastAsia="zh-CN"/>
        </w:rPr>
        <w:t>/</w:t>
      </w:r>
    </w:p>
    <w:p w14:paraId="7452584D">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1.10.4</w:t>
      </w:r>
      <w:r>
        <w:rPr>
          <w:rFonts w:hint="eastAsia" w:ascii="宋体" w:hAnsi="宋体" w:eastAsia="宋体" w:cs="宋体"/>
          <w:color w:val="auto"/>
          <w:spacing w:val="-3"/>
          <w:sz w:val="28"/>
          <w:szCs w:val="28"/>
          <w:highlight w:val="none"/>
        </w:rPr>
        <w:t>超大件和超重件的运输</w:t>
      </w:r>
    </w:p>
    <w:p w14:paraId="5C6C0724">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运输超大件或超重件所需的道路和桥梁临时加固改造费用和其他有关费用由承担。</w:t>
      </w:r>
    </w:p>
    <w:p w14:paraId="5C3F8CEE">
      <w:pPr>
        <w:pageBreakBefore w:val="0"/>
        <w:numPr>
          <w:ilvl w:val="1"/>
          <w:numId w:val="9"/>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bookmarkStart w:id="126" w:name="1.11 知识产权"/>
      <w:bookmarkEnd w:id="126"/>
      <w:bookmarkStart w:id="127" w:name="1.11 知识产权"/>
      <w:bookmarkEnd w:id="127"/>
      <w:r>
        <w:rPr>
          <w:rFonts w:hint="eastAsia" w:ascii="宋体" w:hAnsi="宋体" w:eastAsia="宋体" w:cs="宋体"/>
          <w:b/>
          <w:color w:val="auto"/>
          <w:sz w:val="28"/>
          <w:szCs w:val="28"/>
          <w:highlight w:val="none"/>
        </w:rPr>
        <w:t>知识产权</w:t>
      </w:r>
    </w:p>
    <w:p w14:paraId="314D72D6">
      <w:pPr>
        <w:pStyle w:val="196"/>
        <w:pageBreakBefore w:val="0"/>
        <w:numPr>
          <w:ilvl w:val="0"/>
          <w:numId w:val="0"/>
        </w:numPr>
        <w:tabs>
          <w:tab w:val="left" w:pos="1104"/>
          <w:tab w:val="left" w:pos="10030"/>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1.11.1</w:t>
      </w: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提供</w:t>
      </w:r>
      <w:r>
        <w:rPr>
          <w:rFonts w:hint="eastAsia" w:ascii="宋体" w:hAnsi="宋体" w:eastAsia="宋体" w:cs="宋体"/>
          <w:color w:val="auto"/>
          <w:spacing w:val="-3"/>
          <w:sz w:val="28"/>
          <w:szCs w:val="28"/>
          <w:highlight w:val="none"/>
        </w:rPr>
        <w:t>给</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的图</w:t>
      </w:r>
      <w:r>
        <w:rPr>
          <w:rFonts w:hint="eastAsia" w:ascii="宋体" w:hAnsi="宋体" w:eastAsia="宋体" w:cs="宋体"/>
          <w:color w:val="auto"/>
          <w:spacing w:val="-3"/>
          <w:sz w:val="28"/>
          <w:szCs w:val="28"/>
          <w:highlight w:val="none"/>
        </w:rPr>
        <w:t>纸</w:t>
      </w: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人为</w:t>
      </w:r>
      <w:r>
        <w:rPr>
          <w:rFonts w:hint="eastAsia" w:ascii="宋体" w:hAnsi="宋体" w:eastAsia="宋体" w:cs="宋体"/>
          <w:color w:val="auto"/>
          <w:spacing w:val="-3"/>
          <w:sz w:val="28"/>
          <w:szCs w:val="28"/>
          <w:highlight w:val="none"/>
        </w:rPr>
        <w:t>实</w:t>
      </w:r>
      <w:r>
        <w:rPr>
          <w:rFonts w:hint="eastAsia" w:ascii="宋体" w:hAnsi="宋体" w:eastAsia="宋体" w:cs="宋体"/>
          <w:color w:val="auto"/>
          <w:sz w:val="28"/>
          <w:szCs w:val="28"/>
          <w:highlight w:val="none"/>
        </w:rPr>
        <w:t>施工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自行</w:t>
      </w:r>
      <w:r>
        <w:rPr>
          <w:rFonts w:hint="eastAsia" w:ascii="宋体" w:hAnsi="宋体" w:eastAsia="宋体" w:cs="宋体"/>
          <w:color w:val="auto"/>
          <w:spacing w:val="-3"/>
          <w:sz w:val="28"/>
          <w:szCs w:val="28"/>
          <w:highlight w:val="none"/>
        </w:rPr>
        <w:t>编</w:t>
      </w:r>
      <w:r>
        <w:rPr>
          <w:rFonts w:hint="eastAsia" w:ascii="宋体" w:hAnsi="宋体" w:eastAsia="宋体" w:cs="宋体"/>
          <w:color w:val="auto"/>
          <w:sz w:val="28"/>
          <w:szCs w:val="28"/>
          <w:highlight w:val="none"/>
        </w:rPr>
        <w:t>制或</w:t>
      </w:r>
      <w:r>
        <w:rPr>
          <w:rFonts w:hint="eastAsia" w:ascii="宋体" w:hAnsi="宋体" w:eastAsia="宋体" w:cs="宋体"/>
          <w:color w:val="auto"/>
          <w:spacing w:val="-3"/>
          <w:sz w:val="28"/>
          <w:szCs w:val="28"/>
          <w:highlight w:val="none"/>
        </w:rPr>
        <w:t>委</w:t>
      </w:r>
      <w:r>
        <w:rPr>
          <w:rFonts w:hint="eastAsia" w:ascii="宋体" w:hAnsi="宋体" w:eastAsia="宋体" w:cs="宋体"/>
          <w:color w:val="auto"/>
          <w:sz w:val="28"/>
          <w:szCs w:val="28"/>
          <w:highlight w:val="none"/>
        </w:rPr>
        <w:t>托编</w:t>
      </w:r>
      <w:r>
        <w:rPr>
          <w:rFonts w:hint="eastAsia" w:ascii="宋体" w:hAnsi="宋体" w:eastAsia="宋体" w:cs="宋体"/>
          <w:color w:val="auto"/>
          <w:spacing w:val="-3"/>
          <w:sz w:val="28"/>
          <w:szCs w:val="28"/>
          <w:highlight w:val="none"/>
        </w:rPr>
        <w:t>制</w:t>
      </w:r>
      <w:r>
        <w:rPr>
          <w:rFonts w:hint="eastAsia" w:ascii="宋体" w:hAnsi="宋体" w:eastAsia="宋体" w:cs="宋体"/>
          <w:color w:val="auto"/>
          <w:sz w:val="28"/>
          <w:szCs w:val="28"/>
          <w:highlight w:val="none"/>
        </w:rPr>
        <w:t>的技</w:t>
      </w:r>
      <w:r>
        <w:rPr>
          <w:rFonts w:hint="eastAsia" w:ascii="宋体" w:hAnsi="宋体" w:eastAsia="宋体" w:cs="宋体"/>
          <w:color w:val="auto"/>
          <w:spacing w:val="-3"/>
          <w:sz w:val="28"/>
          <w:szCs w:val="28"/>
          <w:highlight w:val="none"/>
        </w:rPr>
        <w:t>术</w:t>
      </w:r>
      <w:r>
        <w:rPr>
          <w:rFonts w:hint="eastAsia" w:ascii="宋体" w:hAnsi="宋体" w:eastAsia="宋体" w:cs="宋体"/>
          <w:color w:val="auto"/>
          <w:sz w:val="28"/>
          <w:szCs w:val="28"/>
          <w:highlight w:val="none"/>
        </w:rPr>
        <w:t>规范</w:t>
      </w:r>
      <w:r>
        <w:rPr>
          <w:rFonts w:hint="eastAsia" w:ascii="宋体" w:hAnsi="宋体" w:eastAsia="宋体" w:cs="宋体"/>
          <w:color w:val="auto"/>
          <w:spacing w:val="-3"/>
          <w:sz w:val="28"/>
          <w:szCs w:val="28"/>
          <w:highlight w:val="none"/>
        </w:rPr>
        <w:t>以</w:t>
      </w:r>
      <w:r>
        <w:rPr>
          <w:rFonts w:hint="eastAsia" w:ascii="宋体" w:hAnsi="宋体" w:eastAsia="宋体" w:cs="宋体"/>
          <w:color w:val="auto"/>
          <w:sz w:val="28"/>
          <w:szCs w:val="28"/>
          <w:highlight w:val="none"/>
        </w:rPr>
        <w:t>及反</w:t>
      </w:r>
      <w:r>
        <w:rPr>
          <w:rFonts w:hint="eastAsia" w:ascii="宋体" w:hAnsi="宋体" w:eastAsia="宋体" w:cs="宋体"/>
          <w:color w:val="auto"/>
          <w:spacing w:val="-1"/>
          <w:sz w:val="28"/>
          <w:szCs w:val="28"/>
          <w:highlight w:val="none"/>
        </w:rPr>
        <w:t>映</w:t>
      </w:r>
      <w:r>
        <w:rPr>
          <w:rFonts w:hint="eastAsia" w:ascii="宋体" w:hAnsi="宋体" w:eastAsia="宋体" w:cs="宋体"/>
          <w:color w:val="auto"/>
          <w:spacing w:val="-3"/>
          <w:sz w:val="28"/>
          <w:szCs w:val="28"/>
          <w:highlight w:val="none"/>
        </w:rPr>
        <w:t>发</w:t>
      </w:r>
      <w:r>
        <w:rPr>
          <w:rFonts w:hint="eastAsia" w:ascii="宋体" w:hAnsi="宋体" w:eastAsia="宋体" w:cs="宋体"/>
          <w:color w:val="auto"/>
          <w:spacing w:val="-1"/>
          <w:sz w:val="28"/>
          <w:szCs w:val="28"/>
          <w:highlight w:val="none"/>
        </w:rPr>
        <w:t>包人</w:t>
      </w:r>
      <w:r>
        <w:rPr>
          <w:rFonts w:hint="eastAsia" w:ascii="宋体" w:hAnsi="宋体" w:eastAsia="宋体" w:cs="宋体"/>
          <w:color w:val="auto"/>
          <w:spacing w:val="-3"/>
          <w:sz w:val="28"/>
          <w:szCs w:val="28"/>
          <w:highlight w:val="none"/>
        </w:rPr>
        <w:t>关</w:t>
      </w:r>
      <w:r>
        <w:rPr>
          <w:rFonts w:hint="eastAsia" w:ascii="宋体" w:hAnsi="宋体" w:eastAsia="宋体" w:cs="宋体"/>
          <w:color w:val="auto"/>
          <w:spacing w:val="-1"/>
          <w:sz w:val="28"/>
          <w:szCs w:val="28"/>
          <w:highlight w:val="none"/>
        </w:rPr>
        <w:t>于合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pacing w:val="-1"/>
          <w:sz w:val="28"/>
          <w:szCs w:val="28"/>
          <w:highlight w:val="none"/>
        </w:rPr>
        <w:t>要求</w:t>
      </w:r>
      <w:r>
        <w:rPr>
          <w:rFonts w:hint="eastAsia" w:ascii="宋体" w:hAnsi="宋体" w:eastAsia="宋体" w:cs="宋体"/>
          <w:color w:val="auto"/>
          <w:spacing w:val="-3"/>
          <w:sz w:val="28"/>
          <w:szCs w:val="28"/>
          <w:highlight w:val="none"/>
        </w:rPr>
        <w:t>或</w:t>
      </w:r>
      <w:r>
        <w:rPr>
          <w:rFonts w:hint="eastAsia" w:ascii="宋体" w:hAnsi="宋体" w:eastAsia="宋体" w:cs="宋体"/>
          <w:color w:val="auto"/>
          <w:spacing w:val="-1"/>
          <w:sz w:val="28"/>
          <w:szCs w:val="28"/>
          <w:highlight w:val="none"/>
        </w:rPr>
        <w:t>其他</w:t>
      </w:r>
      <w:r>
        <w:rPr>
          <w:rFonts w:hint="eastAsia" w:ascii="宋体" w:hAnsi="宋体" w:eastAsia="宋体" w:cs="宋体"/>
          <w:color w:val="auto"/>
          <w:spacing w:val="-3"/>
          <w:sz w:val="28"/>
          <w:szCs w:val="28"/>
          <w:highlight w:val="none"/>
        </w:rPr>
        <w:t>类</w:t>
      </w:r>
      <w:r>
        <w:rPr>
          <w:rFonts w:hint="eastAsia" w:ascii="宋体" w:hAnsi="宋体" w:eastAsia="宋体" w:cs="宋体"/>
          <w:color w:val="auto"/>
          <w:spacing w:val="-1"/>
          <w:sz w:val="28"/>
          <w:szCs w:val="28"/>
          <w:highlight w:val="none"/>
        </w:rPr>
        <w:t>似性</w:t>
      </w:r>
      <w:r>
        <w:rPr>
          <w:rFonts w:hint="eastAsia" w:ascii="宋体" w:hAnsi="宋体" w:eastAsia="宋体" w:cs="宋体"/>
          <w:color w:val="auto"/>
          <w:spacing w:val="-3"/>
          <w:sz w:val="28"/>
          <w:szCs w:val="28"/>
          <w:highlight w:val="none"/>
        </w:rPr>
        <w:t>质</w:t>
      </w:r>
      <w:r>
        <w:rPr>
          <w:rFonts w:hint="eastAsia" w:ascii="宋体" w:hAnsi="宋体" w:eastAsia="宋体" w:cs="宋体"/>
          <w:color w:val="auto"/>
          <w:spacing w:val="-1"/>
          <w:sz w:val="28"/>
          <w:szCs w:val="28"/>
          <w:highlight w:val="none"/>
        </w:rPr>
        <w:t>的文</w:t>
      </w:r>
      <w:r>
        <w:rPr>
          <w:rFonts w:hint="eastAsia" w:ascii="宋体" w:hAnsi="宋体" w:eastAsia="宋体" w:cs="宋体"/>
          <w:color w:val="auto"/>
          <w:spacing w:val="-3"/>
          <w:sz w:val="28"/>
          <w:szCs w:val="28"/>
          <w:highlight w:val="none"/>
        </w:rPr>
        <w:t>件</w:t>
      </w:r>
      <w:r>
        <w:rPr>
          <w:rFonts w:hint="eastAsia" w:ascii="宋体" w:hAnsi="宋体" w:eastAsia="宋体" w:cs="宋体"/>
          <w:color w:val="auto"/>
          <w:spacing w:val="-1"/>
          <w:sz w:val="28"/>
          <w:szCs w:val="28"/>
          <w:highlight w:val="none"/>
        </w:rPr>
        <w:t>的著</w:t>
      </w:r>
      <w:r>
        <w:rPr>
          <w:rFonts w:hint="eastAsia" w:ascii="宋体" w:hAnsi="宋体" w:eastAsia="宋体" w:cs="宋体"/>
          <w:color w:val="auto"/>
          <w:spacing w:val="-3"/>
          <w:sz w:val="28"/>
          <w:szCs w:val="28"/>
          <w:highlight w:val="none"/>
        </w:rPr>
        <w:t>作</w:t>
      </w:r>
      <w:r>
        <w:rPr>
          <w:rFonts w:hint="eastAsia" w:ascii="宋体" w:hAnsi="宋体" w:eastAsia="宋体" w:cs="宋体"/>
          <w:color w:val="auto"/>
          <w:spacing w:val="-1"/>
          <w:sz w:val="28"/>
          <w:szCs w:val="28"/>
          <w:highlight w:val="none"/>
        </w:rPr>
        <w:t>权的</w:t>
      </w:r>
      <w:r>
        <w:rPr>
          <w:rFonts w:hint="eastAsia" w:ascii="宋体" w:hAnsi="宋体" w:eastAsia="宋体" w:cs="宋体"/>
          <w:color w:val="auto"/>
          <w:spacing w:val="-3"/>
          <w:sz w:val="28"/>
          <w:szCs w:val="28"/>
          <w:highlight w:val="none"/>
        </w:rPr>
        <w:t>归</w:t>
      </w:r>
      <w:r>
        <w:rPr>
          <w:rFonts w:hint="eastAsia" w:ascii="宋体" w:hAnsi="宋体" w:eastAsia="宋体" w:cs="宋体"/>
          <w:color w:val="auto"/>
          <w:spacing w:val="-1"/>
          <w:sz w:val="28"/>
          <w:szCs w:val="28"/>
          <w:highlight w:val="none"/>
        </w:rPr>
        <w:t>属：</w:t>
      </w:r>
      <w:r>
        <w:rPr>
          <w:rFonts w:hint="eastAsia" w:ascii="宋体" w:hAnsi="宋体" w:eastAsia="宋体" w:cs="宋体"/>
          <w:color w:val="auto"/>
          <w:sz w:val="28"/>
          <w:szCs w:val="28"/>
          <w:highlight w:val="none"/>
          <w:u w:val="single"/>
          <w:lang w:val="en-US" w:eastAsia="zh-CN"/>
        </w:rPr>
        <w:t>/</w:t>
      </w:r>
    </w:p>
    <w:p w14:paraId="53DE3224">
      <w:pPr>
        <w:pStyle w:val="19"/>
        <w:pageBreakBefore w:val="0"/>
        <w:tabs>
          <w:tab w:val="left" w:pos="6383"/>
          <w:tab w:val="left" w:pos="7374"/>
        </w:tabs>
        <w:kinsoku/>
        <w:overflowPunct/>
        <w:topLinePunct w:val="0"/>
        <w:bidi w:val="0"/>
        <w:snapToGrid/>
        <w:spacing w:before="2" w:line="560" w:lineRule="exact"/>
        <w:ind w:left="332" w:right="48" w:rightChars="23" w:hanging="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提供</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上述</w:t>
      </w:r>
      <w:r>
        <w:rPr>
          <w:rFonts w:hint="eastAsia" w:ascii="宋体" w:hAnsi="宋体" w:eastAsia="宋体" w:cs="宋体"/>
          <w:color w:val="auto"/>
          <w:spacing w:val="-3"/>
          <w:sz w:val="28"/>
          <w:szCs w:val="28"/>
          <w:highlight w:val="none"/>
        </w:rPr>
        <w:t>文</w:t>
      </w:r>
      <w:r>
        <w:rPr>
          <w:rFonts w:hint="eastAsia" w:ascii="宋体" w:hAnsi="宋体" w:eastAsia="宋体" w:cs="宋体"/>
          <w:color w:val="auto"/>
          <w:sz w:val="28"/>
          <w:szCs w:val="28"/>
          <w:highlight w:val="none"/>
        </w:rPr>
        <w:t>件的</w:t>
      </w:r>
      <w:r>
        <w:rPr>
          <w:rFonts w:hint="eastAsia" w:ascii="宋体" w:hAnsi="宋体" w:eastAsia="宋体" w:cs="宋体"/>
          <w:color w:val="auto"/>
          <w:spacing w:val="-3"/>
          <w:sz w:val="28"/>
          <w:szCs w:val="28"/>
          <w:highlight w:val="none"/>
        </w:rPr>
        <w:t>使</w:t>
      </w:r>
      <w:r>
        <w:rPr>
          <w:rFonts w:hint="eastAsia" w:ascii="宋体" w:hAnsi="宋体" w:eastAsia="宋体" w:cs="宋体"/>
          <w:color w:val="auto"/>
          <w:sz w:val="28"/>
          <w:szCs w:val="28"/>
          <w:highlight w:val="none"/>
        </w:rPr>
        <w:t>用限</w:t>
      </w:r>
      <w:r>
        <w:rPr>
          <w:rFonts w:hint="eastAsia" w:ascii="宋体" w:hAnsi="宋体" w:eastAsia="宋体" w:cs="宋体"/>
          <w:color w:val="auto"/>
          <w:spacing w:val="-3"/>
          <w:sz w:val="28"/>
          <w:szCs w:val="28"/>
          <w:highlight w:val="none"/>
        </w:rPr>
        <w:t>制</w:t>
      </w:r>
      <w:r>
        <w:rPr>
          <w:rFonts w:hint="eastAsia" w:ascii="宋体" w:hAnsi="宋体" w:eastAsia="宋体" w:cs="宋体"/>
          <w:color w:val="auto"/>
          <w:sz w:val="28"/>
          <w:szCs w:val="28"/>
          <w:highlight w:val="none"/>
        </w:rPr>
        <w:t>的要</w:t>
      </w:r>
      <w:r>
        <w:rPr>
          <w:rFonts w:hint="eastAsia" w:ascii="宋体" w:hAnsi="宋体" w:eastAsia="宋体" w:cs="宋体"/>
          <w:color w:val="auto"/>
          <w:spacing w:val="-3"/>
          <w:sz w:val="28"/>
          <w:szCs w:val="28"/>
          <w:highlight w:val="none"/>
        </w:rPr>
        <w:t>求</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3CDF49F9">
      <w:pPr>
        <w:pStyle w:val="196"/>
        <w:pageBreakBefore w:val="0"/>
        <w:numPr>
          <w:ilvl w:val="0"/>
          <w:numId w:val="0"/>
        </w:numPr>
        <w:tabs>
          <w:tab w:val="left" w:pos="1104"/>
          <w:tab w:val="left" w:pos="748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1.11.2</w:t>
      </w: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为实</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所</w:t>
      </w:r>
      <w:r>
        <w:rPr>
          <w:rFonts w:hint="eastAsia" w:ascii="宋体" w:hAnsi="宋体" w:eastAsia="宋体" w:cs="宋体"/>
          <w:color w:val="auto"/>
          <w:sz w:val="28"/>
          <w:szCs w:val="28"/>
          <w:highlight w:val="none"/>
        </w:rPr>
        <w:t>编制</w:t>
      </w:r>
      <w:r>
        <w:rPr>
          <w:rFonts w:hint="eastAsia" w:ascii="宋体" w:hAnsi="宋体" w:eastAsia="宋体" w:cs="宋体"/>
          <w:color w:val="auto"/>
          <w:spacing w:val="-3"/>
          <w:sz w:val="28"/>
          <w:szCs w:val="28"/>
          <w:highlight w:val="none"/>
        </w:rPr>
        <w:t>文</w:t>
      </w:r>
      <w:r>
        <w:rPr>
          <w:rFonts w:hint="eastAsia" w:ascii="宋体" w:hAnsi="宋体" w:eastAsia="宋体" w:cs="宋体"/>
          <w:color w:val="auto"/>
          <w:sz w:val="28"/>
          <w:szCs w:val="28"/>
          <w:highlight w:val="none"/>
        </w:rPr>
        <w:t>件的</w:t>
      </w:r>
      <w:r>
        <w:rPr>
          <w:rFonts w:hint="eastAsia" w:ascii="宋体" w:hAnsi="宋体" w:eastAsia="宋体" w:cs="宋体"/>
          <w:color w:val="auto"/>
          <w:spacing w:val="-3"/>
          <w:sz w:val="28"/>
          <w:szCs w:val="28"/>
          <w:highlight w:val="none"/>
        </w:rPr>
        <w:t>著</w:t>
      </w:r>
      <w:r>
        <w:rPr>
          <w:rFonts w:hint="eastAsia" w:ascii="宋体" w:hAnsi="宋体" w:eastAsia="宋体" w:cs="宋体"/>
          <w:color w:val="auto"/>
          <w:sz w:val="28"/>
          <w:szCs w:val="28"/>
          <w:highlight w:val="none"/>
        </w:rPr>
        <w:t>作权</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归属：</w:t>
      </w:r>
      <w:r>
        <w:rPr>
          <w:rFonts w:hint="eastAsia" w:ascii="宋体" w:hAnsi="宋体" w:eastAsia="宋体" w:cs="宋体"/>
          <w:color w:val="auto"/>
          <w:sz w:val="28"/>
          <w:szCs w:val="28"/>
          <w:highlight w:val="none"/>
          <w:u w:val="single"/>
          <w:lang w:val="en-US" w:eastAsia="zh-CN"/>
        </w:rPr>
        <w:t>/</w:t>
      </w:r>
    </w:p>
    <w:p w14:paraId="6786CA5C">
      <w:pPr>
        <w:pStyle w:val="19"/>
        <w:pageBreakBefore w:val="0"/>
        <w:tabs>
          <w:tab w:val="left" w:pos="88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1.11.3</w:t>
      </w: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提供</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上述</w:t>
      </w:r>
      <w:r>
        <w:rPr>
          <w:rFonts w:hint="eastAsia" w:ascii="宋体" w:hAnsi="宋体" w:eastAsia="宋体" w:cs="宋体"/>
          <w:color w:val="auto"/>
          <w:spacing w:val="-3"/>
          <w:sz w:val="28"/>
          <w:szCs w:val="28"/>
          <w:highlight w:val="none"/>
        </w:rPr>
        <w:t>文</w:t>
      </w:r>
      <w:r>
        <w:rPr>
          <w:rFonts w:hint="eastAsia" w:ascii="宋体" w:hAnsi="宋体" w:eastAsia="宋体" w:cs="宋体"/>
          <w:color w:val="auto"/>
          <w:sz w:val="28"/>
          <w:szCs w:val="28"/>
          <w:highlight w:val="none"/>
        </w:rPr>
        <w:t>件的</w:t>
      </w:r>
      <w:r>
        <w:rPr>
          <w:rFonts w:hint="eastAsia" w:ascii="宋体" w:hAnsi="宋体" w:eastAsia="宋体" w:cs="宋体"/>
          <w:color w:val="auto"/>
          <w:spacing w:val="-3"/>
          <w:sz w:val="28"/>
          <w:szCs w:val="28"/>
          <w:highlight w:val="none"/>
        </w:rPr>
        <w:t>使</w:t>
      </w:r>
      <w:r>
        <w:rPr>
          <w:rFonts w:hint="eastAsia" w:ascii="宋体" w:hAnsi="宋体" w:eastAsia="宋体" w:cs="宋体"/>
          <w:color w:val="auto"/>
          <w:sz w:val="28"/>
          <w:szCs w:val="28"/>
          <w:highlight w:val="none"/>
        </w:rPr>
        <w:t>用限</w:t>
      </w:r>
      <w:r>
        <w:rPr>
          <w:rFonts w:hint="eastAsia" w:ascii="宋体" w:hAnsi="宋体" w:eastAsia="宋体" w:cs="宋体"/>
          <w:color w:val="auto"/>
          <w:spacing w:val="-3"/>
          <w:sz w:val="28"/>
          <w:szCs w:val="28"/>
          <w:highlight w:val="none"/>
        </w:rPr>
        <w:t>制</w:t>
      </w:r>
      <w:r>
        <w:rPr>
          <w:rFonts w:hint="eastAsia" w:ascii="宋体" w:hAnsi="宋体" w:eastAsia="宋体" w:cs="宋体"/>
          <w:color w:val="auto"/>
          <w:sz w:val="28"/>
          <w:szCs w:val="28"/>
          <w:highlight w:val="none"/>
        </w:rPr>
        <w:t>的要</w:t>
      </w:r>
      <w:r>
        <w:rPr>
          <w:rFonts w:hint="eastAsia" w:ascii="宋体" w:hAnsi="宋体" w:eastAsia="宋体" w:cs="宋体"/>
          <w:color w:val="auto"/>
          <w:spacing w:val="-3"/>
          <w:sz w:val="28"/>
          <w:szCs w:val="28"/>
          <w:highlight w:val="none"/>
        </w:rPr>
        <w:t>求</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2A7FEDFF">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承包人在施工过程中所采用的专利、专有技术、技术秘密的使用费的承担方式：</w:t>
      </w:r>
      <w:r>
        <w:rPr>
          <w:rFonts w:hint="eastAsia" w:ascii="宋体" w:hAnsi="宋体" w:eastAsia="宋体" w:cs="宋体"/>
          <w:color w:val="auto"/>
          <w:sz w:val="28"/>
          <w:szCs w:val="28"/>
          <w:highlight w:val="none"/>
          <w:u w:val="single"/>
          <w:lang w:val="en-US" w:eastAsia="zh-CN"/>
        </w:rPr>
        <w:t>/</w:t>
      </w:r>
    </w:p>
    <w:p w14:paraId="443C5F4B">
      <w:pPr>
        <w:pageBreakBefore w:val="0"/>
        <w:kinsoku/>
        <w:overflowPunct/>
        <w:topLinePunct w:val="0"/>
        <w:bidi w:val="0"/>
        <w:snapToGrid/>
        <w:spacing w:before="191" w:line="560" w:lineRule="exact"/>
        <w:ind w:left="332" w:right="48" w:rightChars="23" w:firstLine="0"/>
        <w:jc w:val="left"/>
        <w:rPr>
          <w:rFonts w:hint="eastAsia" w:ascii="宋体" w:hAnsi="宋体" w:eastAsia="宋体" w:cs="宋体"/>
          <w:color w:val="auto"/>
        </w:rPr>
      </w:pPr>
      <w:bookmarkStart w:id="128" w:name="1.13工程量清单错误的修正"/>
      <w:bookmarkEnd w:id="128"/>
      <w:r>
        <w:rPr>
          <w:rFonts w:hint="eastAsia" w:ascii="宋体" w:hAnsi="宋体" w:eastAsia="宋体" w:cs="宋体"/>
          <w:b/>
          <w:color w:val="auto"/>
          <w:sz w:val="28"/>
          <w:szCs w:val="28"/>
          <w:highlight w:val="none"/>
        </w:rPr>
        <w:t>1.13 工程量清单错误的修正</w:t>
      </w:r>
    </w:p>
    <w:p w14:paraId="5A285756">
      <w:pPr>
        <w:pageBreakBefore w:val="0"/>
        <w:kinsoku/>
        <w:overflowPunct/>
        <w:topLinePunct w:val="0"/>
        <w:autoSpaceDE w:val="0"/>
        <w:autoSpaceDN w:val="0"/>
        <w:bidi w:val="0"/>
        <w:adjustRightInd w:val="0"/>
        <w:snapToGrid/>
        <w:spacing w:line="560" w:lineRule="exact"/>
        <w:ind w:firstLine="560" w:firstLineChars="200"/>
        <w:jc w:val="left"/>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出现下列情形之一时，发包人应予以修正，并相应调整合同价格：</w:t>
      </w:r>
    </w:p>
    <w:p w14:paraId="7A84F8E8">
      <w:pPr>
        <w:pageBreakBefore w:val="0"/>
        <w:kinsoku/>
        <w:overflowPunct/>
        <w:topLinePunct w:val="0"/>
        <w:autoSpaceDE w:val="0"/>
        <w:autoSpaceDN w:val="0"/>
        <w:bidi w:val="0"/>
        <w:adjustRightInd w:val="0"/>
        <w:snapToGrid/>
        <w:spacing w:line="560" w:lineRule="exact"/>
        <w:ind w:firstLine="560" w:firstLineChars="200"/>
        <w:jc w:val="left"/>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（1）工程量清单存在缺项、漏项的；</w:t>
      </w:r>
    </w:p>
    <w:p w14:paraId="6B1E2813">
      <w:pPr>
        <w:pageBreakBefore w:val="0"/>
        <w:kinsoku/>
        <w:overflowPunct/>
        <w:topLinePunct w:val="0"/>
        <w:autoSpaceDE w:val="0"/>
        <w:autoSpaceDN w:val="0"/>
        <w:bidi w:val="0"/>
        <w:adjustRightInd w:val="0"/>
        <w:snapToGrid/>
        <w:spacing w:line="560" w:lineRule="exact"/>
        <w:ind w:firstLine="560" w:firstLineChars="200"/>
        <w:jc w:val="left"/>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（2）未按照国家现行计量规范强制性规定计量的；</w:t>
      </w:r>
    </w:p>
    <w:p w14:paraId="0EC8A0E6">
      <w:pPr>
        <w:pageBreakBefore w:val="0"/>
        <w:kinsoku/>
        <w:overflowPunct/>
        <w:topLinePunct w:val="0"/>
        <w:autoSpaceDE w:val="0"/>
        <w:autoSpaceDN w:val="0"/>
        <w:bidi w:val="0"/>
        <w:adjustRightInd w:val="0"/>
        <w:snapToGrid/>
        <w:spacing w:line="560" w:lineRule="exact"/>
        <w:ind w:left="559" w:leftChars="266" w:firstLine="0" w:firstLineChars="0"/>
        <w:jc w:val="left"/>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允许调整合同价格的工程量偏差范围及其调整办法：</w:t>
      </w:r>
      <w:r>
        <w:rPr>
          <w:rFonts w:hint="eastAsia" w:ascii="宋体" w:hAnsi="宋体" w:eastAsia="宋体" w:cs="宋体"/>
          <w:color w:val="auto"/>
          <w:kern w:val="0"/>
          <w:sz w:val="28"/>
          <w:szCs w:val="28"/>
          <w:highlight w:val="none"/>
          <w:u w:val="single"/>
          <w:lang w:val="en-US" w:eastAsia="zh-CN" w:bidi="ar-SA"/>
        </w:rPr>
        <w:t>按江州区政府性投资基本建设项目管理办法（修订版）的通知（江政办发[2021]4号）执行</w:t>
      </w:r>
      <w:r>
        <w:rPr>
          <w:rFonts w:hint="eastAsia" w:ascii="宋体" w:hAnsi="宋体" w:eastAsia="宋体" w:cs="宋体"/>
          <w:color w:val="auto"/>
          <w:kern w:val="0"/>
          <w:sz w:val="28"/>
          <w:szCs w:val="28"/>
          <w:highlight w:val="none"/>
          <w:lang w:val="en-US" w:eastAsia="zh-CN" w:bidi="ar-SA"/>
        </w:rPr>
        <w:t>。</w:t>
      </w:r>
    </w:p>
    <w:p w14:paraId="13A9FFC0">
      <w:pPr>
        <w:pageBreakBefore w:val="0"/>
        <w:numPr>
          <w:ilvl w:val="0"/>
          <w:numId w:val="0"/>
        </w:numPr>
        <w:tabs>
          <w:tab w:val="left" w:pos="667"/>
        </w:tabs>
        <w:kinsoku/>
        <w:overflowPunct/>
        <w:topLinePunct w:val="0"/>
        <w:bidi w:val="0"/>
        <w:snapToGrid/>
        <w:spacing w:before="191" w:line="560" w:lineRule="exact"/>
        <w:ind w:right="48" w:rightChars="23" w:firstLine="281" w:firstLineChars="100"/>
        <w:jc w:val="left"/>
        <w:rPr>
          <w:rFonts w:hint="eastAsia" w:ascii="宋体" w:hAnsi="宋体" w:eastAsia="宋体" w:cs="宋体"/>
          <w:b/>
          <w:color w:val="auto"/>
          <w:sz w:val="28"/>
          <w:szCs w:val="28"/>
          <w:highlight w:val="none"/>
        </w:rPr>
      </w:pPr>
      <w:bookmarkStart w:id="129" w:name="2. 发包人"/>
      <w:bookmarkEnd w:id="129"/>
      <w:bookmarkStart w:id="130" w:name="2. 发包人"/>
      <w:bookmarkEnd w:id="130"/>
      <w:r>
        <w:rPr>
          <w:rFonts w:hint="eastAsia" w:ascii="宋体" w:hAnsi="宋体" w:eastAsia="宋体" w:cs="宋体"/>
          <w:b/>
          <w:color w:val="auto"/>
          <w:sz w:val="28"/>
          <w:szCs w:val="28"/>
          <w:highlight w:val="none"/>
          <w:lang w:val="en-US" w:eastAsia="zh-CN"/>
        </w:rPr>
        <w:t>2.</w:t>
      </w:r>
      <w:r>
        <w:rPr>
          <w:rFonts w:hint="eastAsia" w:ascii="宋体" w:hAnsi="宋体" w:eastAsia="宋体" w:cs="宋体"/>
          <w:b/>
          <w:color w:val="auto"/>
          <w:sz w:val="28"/>
          <w:szCs w:val="28"/>
          <w:highlight w:val="none"/>
        </w:rPr>
        <w:t>发包人</w:t>
      </w:r>
    </w:p>
    <w:p w14:paraId="4C60C6D7">
      <w:pPr>
        <w:keepNext w:val="0"/>
        <w:keepLines w:val="0"/>
        <w:pageBreakBefore w:val="0"/>
        <w:widowControl w:val="0"/>
        <w:kinsoku/>
        <w:wordWrap/>
        <w:overflowPunct/>
        <w:topLinePunct w:val="0"/>
        <w:autoSpaceDE w:val="0"/>
        <w:autoSpaceDN w:val="0"/>
        <w:bidi w:val="0"/>
        <w:adjustRightInd w:val="0"/>
        <w:snapToGrid/>
        <w:spacing w:before="0" w:line="560" w:lineRule="exact"/>
        <w:ind w:left="334" w:right="48" w:rightChars="23" w:firstLine="0"/>
        <w:jc w:val="left"/>
        <w:textAlignment w:val="auto"/>
        <w:rPr>
          <w:rFonts w:hint="eastAsia" w:ascii="宋体" w:hAnsi="宋体" w:eastAsia="宋体" w:cs="宋体"/>
          <w:b/>
          <w:color w:val="auto"/>
          <w:sz w:val="28"/>
          <w:szCs w:val="28"/>
          <w:highlight w:val="none"/>
        </w:rPr>
      </w:pPr>
      <w:bookmarkStart w:id="131" w:name="2.2 发包人代表"/>
      <w:bookmarkEnd w:id="131"/>
      <w:r>
        <w:rPr>
          <w:rFonts w:hint="eastAsia" w:ascii="宋体" w:hAnsi="宋体" w:eastAsia="宋体" w:cs="宋体"/>
          <w:b/>
          <w:color w:val="auto"/>
          <w:sz w:val="28"/>
          <w:szCs w:val="28"/>
          <w:highlight w:val="none"/>
        </w:rPr>
        <w:t>2.2 发包人代表</w:t>
      </w:r>
    </w:p>
    <w:p w14:paraId="323F9C29">
      <w:pPr>
        <w:keepNext w:val="0"/>
        <w:keepLines w:val="0"/>
        <w:pageBreakBefore w:val="0"/>
        <w:widowControl w:val="0"/>
        <w:kinsoku/>
        <w:wordWrap/>
        <w:overflowPunct/>
        <w:topLinePunct w:val="0"/>
        <w:autoSpaceDE w:val="0"/>
        <w:autoSpaceDN w:val="0"/>
        <w:bidi w:val="0"/>
        <w:adjustRightInd w:val="0"/>
        <w:snapToGrid/>
        <w:spacing w:before="0" w:line="560" w:lineRule="exact"/>
        <w:ind w:left="334" w:right="48" w:rightChars="23"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发包人代表：</w:t>
      </w:r>
    </w:p>
    <w:p w14:paraId="402A9D06">
      <w:pPr>
        <w:pStyle w:val="19"/>
        <w:pageBreakBefore w:val="0"/>
        <w:tabs>
          <w:tab w:val="left" w:pos="992"/>
          <w:tab w:val="left" w:pos="4952"/>
          <w:tab w:val="left" w:pos="506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姓</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名：</w:t>
      </w:r>
      <w:r>
        <w:rPr>
          <w:rFonts w:hint="eastAsia" w:ascii="宋体" w:hAnsi="宋体" w:eastAsia="宋体" w:cs="宋体"/>
          <w:color w:val="auto"/>
          <w:sz w:val="28"/>
          <w:szCs w:val="28"/>
          <w:highlight w:val="none"/>
          <w:u w:val="single"/>
          <w:lang w:val="en-US" w:eastAsia="zh-CN"/>
        </w:rPr>
        <w:t xml:space="preserve">                    </w:t>
      </w:r>
    </w:p>
    <w:p w14:paraId="61DBBD2F">
      <w:pPr>
        <w:pStyle w:val="19"/>
        <w:pageBreakBefore w:val="0"/>
        <w:tabs>
          <w:tab w:val="left" w:pos="992"/>
          <w:tab w:val="left" w:pos="4952"/>
          <w:tab w:val="left" w:pos="506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身</w:t>
      </w:r>
      <w:r>
        <w:rPr>
          <w:rFonts w:hint="eastAsia" w:ascii="宋体" w:hAnsi="宋体" w:eastAsia="宋体" w:cs="宋体"/>
          <w:color w:val="auto"/>
          <w:spacing w:val="-3"/>
          <w:sz w:val="28"/>
          <w:szCs w:val="28"/>
          <w:highlight w:val="none"/>
        </w:rPr>
        <w:t>份</w:t>
      </w:r>
      <w:r>
        <w:rPr>
          <w:rFonts w:hint="eastAsia" w:ascii="宋体" w:hAnsi="宋体" w:eastAsia="宋体" w:cs="宋体"/>
          <w:color w:val="auto"/>
          <w:sz w:val="28"/>
          <w:szCs w:val="28"/>
          <w:highlight w:val="none"/>
        </w:rPr>
        <w:t>证号：</w:t>
      </w:r>
      <w:r>
        <w:rPr>
          <w:rFonts w:hint="eastAsia" w:ascii="宋体" w:hAnsi="宋体" w:eastAsia="宋体" w:cs="宋体"/>
          <w:color w:val="auto"/>
          <w:sz w:val="28"/>
          <w:szCs w:val="28"/>
          <w:highlight w:val="none"/>
          <w:u w:val="single"/>
          <w:lang w:val="en-US" w:eastAsia="zh-CN"/>
        </w:rPr>
        <w:t xml:space="preserve">                     </w:t>
      </w:r>
    </w:p>
    <w:p w14:paraId="4975F49F">
      <w:pPr>
        <w:pStyle w:val="19"/>
        <w:pageBreakBefore w:val="0"/>
        <w:tabs>
          <w:tab w:val="left" w:pos="992"/>
          <w:tab w:val="left" w:pos="4952"/>
          <w:tab w:val="left" w:pos="506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务：</w:t>
      </w:r>
      <w:r>
        <w:rPr>
          <w:rFonts w:hint="eastAsia" w:ascii="宋体" w:hAnsi="宋体" w:eastAsia="宋体" w:cs="宋体"/>
          <w:color w:val="auto"/>
          <w:sz w:val="28"/>
          <w:szCs w:val="28"/>
          <w:highlight w:val="none"/>
          <w:u w:val="single"/>
          <w:lang w:val="en-US" w:eastAsia="zh-CN"/>
        </w:rPr>
        <w:t xml:space="preserve">                      </w:t>
      </w:r>
    </w:p>
    <w:p w14:paraId="59794398">
      <w:pPr>
        <w:pStyle w:val="19"/>
        <w:pageBreakBefore w:val="0"/>
        <w:tabs>
          <w:tab w:val="left" w:pos="992"/>
          <w:tab w:val="left" w:pos="4952"/>
          <w:tab w:val="left" w:pos="506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联</w:t>
      </w:r>
      <w:r>
        <w:rPr>
          <w:rFonts w:hint="eastAsia" w:ascii="宋体" w:hAnsi="宋体" w:eastAsia="宋体" w:cs="宋体"/>
          <w:color w:val="auto"/>
          <w:spacing w:val="-3"/>
          <w:sz w:val="28"/>
          <w:szCs w:val="28"/>
          <w:highlight w:val="none"/>
        </w:rPr>
        <w:t>系</w:t>
      </w:r>
      <w:r>
        <w:rPr>
          <w:rFonts w:hint="eastAsia" w:ascii="宋体" w:hAnsi="宋体" w:eastAsia="宋体" w:cs="宋体"/>
          <w:color w:val="auto"/>
          <w:sz w:val="28"/>
          <w:szCs w:val="28"/>
          <w:highlight w:val="none"/>
        </w:rPr>
        <w:t>电话：</w:t>
      </w:r>
      <w:r>
        <w:rPr>
          <w:rFonts w:hint="eastAsia" w:ascii="宋体" w:hAnsi="宋体" w:eastAsia="宋体" w:cs="宋体"/>
          <w:color w:val="auto"/>
          <w:sz w:val="28"/>
          <w:szCs w:val="28"/>
          <w:highlight w:val="none"/>
          <w:u w:val="single"/>
          <w:lang w:val="en-US" w:eastAsia="zh-CN"/>
        </w:rPr>
        <w:t xml:space="preserve">                      </w:t>
      </w:r>
    </w:p>
    <w:p w14:paraId="58891E2F">
      <w:pPr>
        <w:pStyle w:val="19"/>
        <w:pageBreakBefore w:val="0"/>
        <w:tabs>
          <w:tab w:val="left" w:pos="992"/>
          <w:tab w:val="left" w:pos="4952"/>
          <w:tab w:val="left" w:pos="5063"/>
        </w:tabs>
        <w:kinsoku/>
        <w:overflowPunct/>
        <w:topLinePunct w:val="0"/>
        <w:bidi w:val="0"/>
        <w:snapToGrid/>
        <w:spacing w:line="560" w:lineRule="exact"/>
        <w:ind w:right="48" w:rightChars="23" w:firstLine="246" w:firstLineChars="100"/>
        <w:rPr>
          <w:rFonts w:hint="eastAsia" w:ascii="宋体" w:hAnsi="宋体" w:eastAsia="宋体" w:cs="宋体"/>
          <w:color w:val="auto"/>
          <w:sz w:val="28"/>
          <w:szCs w:val="28"/>
          <w:highlight w:val="none"/>
          <w:lang w:val="en-US"/>
        </w:rPr>
      </w:pPr>
      <w:r>
        <w:rPr>
          <w:rFonts w:hint="eastAsia" w:ascii="宋体" w:hAnsi="宋体" w:eastAsia="宋体" w:cs="宋体"/>
          <w:color w:val="auto"/>
          <w:spacing w:val="-17"/>
          <w:sz w:val="28"/>
          <w:szCs w:val="28"/>
          <w:highlight w:val="none"/>
        </w:rPr>
        <w:t xml:space="preserve"> </w:t>
      </w:r>
      <w:r>
        <w:rPr>
          <w:rFonts w:hint="eastAsia" w:ascii="宋体" w:hAnsi="宋体" w:eastAsia="宋体" w:cs="宋体"/>
          <w:color w:val="auto"/>
          <w:sz w:val="28"/>
          <w:szCs w:val="28"/>
          <w:highlight w:val="none"/>
        </w:rPr>
        <w:t>电</w:t>
      </w:r>
      <w:r>
        <w:rPr>
          <w:rFonts w:hint="eastAsia" w:ascii="宋体" w:hAnsi="宋体" w:eastAsia="宋体" w:cs="宋体"/>
          <w:color w:val="auto"/>
          <w:spacing w:val="-3"/>
          <w:sz w:val="28"/>
          <w:szCs w:val="28"/>
          <w:highlight w:val="none"/>
        </w:rPr>
        <w:t>子</w:t>
      </w:r>
      <w:r>
        <w:rPr>
          <w:rFonts w:hint="eastAsia" w:ascii="宋体" w:hAnsi="宋体" w:eastAsia="宋体" w:cs="宋体"/>
          <w:color w:val="auto"/>
          <w:sz w:val="28"/>
          <w:szCs w:val="28"/>
          <w:highlight w:val="none"/>
        </w:rPr>
        <w:t>信箱：</w:t>
      </w:r>
      <w:r>
        <w:rPr>
          <w:rFonts w:hint="eastAsia" w:ascii="宋体" w:hAnsi="宋体" w:eastAsia="宋体" w:cs="宋体"/>
          <w:color w:val="auto"/>
          <w:sz w:val="28"/>
          <w:szCs w:val="28"/>
          <w:highlight w:val="none"/>
          <w:u w:val="single"/>
          <w:lang w:val="en-US" w:eastAsia="zh-CN"/>
        </w:rPr>
        <w:t xml:space="preserve">                     </w:t>
      </w:r>
    </w:p>
    <w:p w14:paraId="1B1DCA49">
      <w:pPr>
        <w:pStyle w:val="19"/>
        <w:pageBreakBefore w:val="0"/>
        <w:tabs>
          <w:tab w:val="left" w:pos="992"/>
          <w:tab w:val="left" w:pos="4952"/>
          <w:tab w:val="left" w:pos="506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通</w:t>
      </w:r>
      <w:r>
        <w:rPr>
          <w:rFonts w:hint="eastAsia" w:ascii="宋体" w:hAnsi="宋体" w:eastAsia="宋体" w:cs="宋体"/>
          <w:color w:val="auto"/>
          <w:spacing w:val="-3"/>
          <w:sz w:val="28"/>
          <w:szCs w:val="28"/>
          <w:highlight w:val="none"/>
        </w:rPr>
        <w:t>信</w:t>
      </w:r>
      <w:r>
        <w:rPr>
          <w:rFonts w:hint="eastAsia" w:ascii="宋体" w:hAnsi="宋体" w:eastAsia="宋体" w:cs="宋体"/>
          <w:color w:val="auto"/>
          <w:sz w:val="28"/>
          <w:szCs w:val="28"/>
          <w:highlight w:val="none"/>
        </w:rPr>
        <w:t>地址：</w:t>
      </w:r>
      <w:r>
        <w:rPr>
          <w:rFonts w:hint="eastAsia" w:ascii="宋体" w:hAnsi="宋体" w:eastAsia="宋体" w:cs="宋体"/>
          <w:color w:val="auto"/>
          <w:sz w:val="28"/>
          <w:szCs w:val="28"/>
          <w:highlight w:val="none"/>
          <w:u w:val="single"/>
          <w:lang w:val="en-US" w:eastAsia="zh-CN"/>
        </w:rPr>
        <w:t xml:space="preserve">                      </w:t>
      </w:r>
    </w:p>
    <w:p w14:paraId="47A88632">
      <w:pPr>
        <w:pStyle w:val="19"/>
        <w:pageBreakBefore w:val="0"/>
        <w:tabs>
          <w:tab w:val="left" w:pos="8473"/>
        </w:tabs>
        <w:kinsoku/>
        <w:overflowPunct/>
        <w:topLinePunct w:val="0"/>
        <w:bidi w:val="0"/>
        <w:snapToGrid/>
        <w:spacing w:before="8"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人对</w:t>
      </w:r>
      <w:r>
        <w:rPr>
          <w:rFonts w:hint="eastAsia" w:ascii="宋体" w:hAnsi="宋体" w:eastAsia="宋体" w:cs="宋体"/>
          <w:color w:val="auto"/>
          <w:spacing w:val="-3"/>
          <w:sz w:val="28"/>
          <w:szCs w:val="28"/>
          <w:highlight w:val="none"/>
        </w:rPr>
        <w:t>发</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代</w:t>
      </w:r>
      <w:r>
        <w:rPr>
          <w:rFonts w:hint="eastAsia" w:ascii="宋体" w:hAnsi="宋体" w:eastAsia="宋体" w:cs="宋体"/>
          <w:color w:val="auto"/>
          <w:sz w:val="28"/>
          <w:szCs w:val="28"/>
          <w:highlight w:val="none"/>
        </w:rPr>
        <w:t>表的</w:t>
      </w:r>
      <w:r>
        <w:rPr>
          <w:rFonts w:hint="eastAsia" w:ascii="宋体" w:hAnsi="宋体" w:eastAsia="宋体" w:cs="宋体"/>
          <w:color w:val="auto"/>
          <w:spacing w:val="-3"/>
          <w:sz w:val="28"/>
          <w:szCs w:val="28"/>
          <w:highlight w:val="none"/>
        </w:rPr>
        <w:t>授</w:t>
      </w:r>
      <w:r>
        <w:rPr>
          <w:rFonts w:hint="eastAsia" w:ascii="宋体" w:hAnsi="宋体" w:eastAsia="宋体" w:cs="宋体"/>
          <w:color w:val="auto"/>
          <w:sz w:val="28"/>
          <w:szCs w:val="28"/>
          <w:highlight w:val="none"/>
        </w:rPr>
        <w:t>权范</w:t>
      </w:r>
      <w:r>
        <w:rPr>
          <w:rFonts w:hint="eastAsia" w:ascii="宋体" w:hAnsi="宋体" w:eastAsia="宋体" w:cs="宋体"/>
          <w:color w:val="auto"/>
          <w:spacing w:val="-3"/>
          <w:sz w:val="28"/>
          <w:szCs w:val="28"/>
          <w:highlight w:val="none"/>
        </w:rPr>
        <w:t>围</w:t>
      </w:r>
      <w:r>
        <w:rPr>
          <w:rFonts w:hint="eastAsia" w:ascii="宋体" w:hAnsi="宋体" w:eastAsia="宋体" w:cs="宋体"/>
          <w:color w:val="auto"/>
          <w:sz w:val="28"/>
          <w:szCs w:val="28"/>
          <w:highlight w:val="none"/>
        </w:rPr>
        <w:t>如下：</w:t>
      </w:r>
      <w:r>
        <w:rPr>
          <w:rFonts w:hint="eastAsia" w:ascii="宋体" w:hAnsi="宋体" w:eastAsia="宋体" w:cs="宋体"/>
          <w:color w:val="auto"/>
          <w:sz w:val="28"/>
          <w:szCs w:val="28"/>
          <w:highlight w:val="none"/>
          <w:u w:val="single"/>
          <w:lang w:val="en-US" w:eastAsia="zh-CN"/>
        </w:rPr>
        <w:t>1、督促监理工程师按照监理合同办事；2、协调各有关单位工作；3、工程进度与工程量的确认；4、督促并控制好工程进度、质量、投资。</w:t>
      </w:r>
    </w:p>
    <w:p w14:paraId="0287EF09">
      <w:pPr>
        <w:pageBreakBefore w:val="0"/>
        <w:numPr>
          <w:ilvl w:val="1"/>
          <w:numId w:val="10"/>
        </w:numPr>
        <w:tabs>
          <w:tab w:val="left" w:pos="777"/>
        </w:tabs>
        <w:kinsoku/>
        <w:overflowPunct/>
        <w:topLinePunct w:val="0"/>
        <w:bidi w:val="0"/>
        <w:snapToGrid/>
        <w:spacing w:before="191" w:line="560" w:lineRule="exact"/>
        <w:ind w:left="776" w:right="48" w:rightChars="23" w:hanging="445"/>
        <w:jc w:val="left"/>
        <w:rPr>
          <w:rFonts w:hint="eastAsia" w:ascii="宋体" w:hAnsi="宋体" w:eastAsia="宋体" w:cs="宋体"/>
          <w:b/>
          <w:color w:val="auto"/>
          <w:sz w:val="28"/>
          <w:szCs w:val="28"/>
          <w:highlight w:val="none"/>
        </w:rPr>
      </w:pPr>
      <w:bookmarkStart w:id="132" w:name="2.4 施工现场、施工条件和基础资料的提供"/>
      <w:bookmarkEnd w:id="132"/>
      <w:bookmarkStart w:id="133" w:name="2.4 施工现场、施工条件和基础资料的提供"/>
      <w:bookmarkEnd w:id="133"/>
      <w:r>
        <w:rPr>
          <w:rFonts w:hint="eastAsia" w:ascii="宋体" w:hAnsi="宋体" w:eastAsia="宋体" w:cs="宋体"/>
          <w:b/>
          <w:color w:val="auto"/>
          <w:sz w:val="28"/>
          <w:szCs w:val="28"/>
          <w:highlight w:val="none"/>
        </w:rPr>
        <w:t>施工现场、施工条件和基础资料的提供</w:t>
      </w:r>
    </w:p>
    <w:p w14:paraId="3E22F258">
      <w:pPr>
        <w:pStyle w:val="196"/>
        <w:pageBreakBefore w:val="0"/>
        <w:numPr>
          <w:ilvl w:val="0"/>
          <w:numId w:val="0"/>
        </w:numPr>
        <w:tabs>
          <w:tab w:val="left" w:pos="99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2.4.1</w:t>
      </w:r>
      <w:r>
        <w:rPr>
          <w:rFonts w:hint="eastAsia" w:ascii="宋体" w:hAnsi="宋体" w:eastAsia="宋体" w:cs="宋体"/>
          <w:color w:val="auto"/>
          <w:spacing w:val="-3"/>
          <w:sz w:val="28"/>
          <w:szCs w:val="28"/>
          <w:highlight w:val="none"/>
        </w:rPr>
        <w:t>提供施工现场</w:t>
      </w:r>
    </w:p>
    <w:p w14:paraId="17F9E962">
      <w:pPr>
        <w:pStyle w:val="19"/>
        <w:pageBreakBefore w:val="0"/>
        <w:tabs>
          <w:tab w:val="left" w:pos="858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移交</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工现</w:t>
      </w:r>
      <w:r>
        <w:rPr>
          <w:rFonts w:hint="eastAsia" w:ascii="宋体" w:hAnsi="宋体" w:eastAsia="宋体" w:cs="宋体"/>
          <w:color w:val="auto"/>
          <w:spacing w:val="-3"/>
          <w:sz w:val="28"/>
          <w:szCs w:val="28"/>
          <w:highlight w:val="none"/>
        </w:rPr>
        <w:t>场</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要求：</w:t>
      </w:r>
      <w:r>
        <w:rPr>
          <w:rFonts w:hint="eastAsia" w:ascii="宋体" w:hAnsi="宋体" w:eastAsia="宋体" w:cs="宋体"/>
          <w:color w:val="auto"/>
          <w:sz w:val="28"/>
          <w:szCs w:val="28"/>
          <w:highlight w:val="none"/>
          <w:u w:val="single"/>
          <w:lang w:val="en-US" w:eastAsia="zh-CN"/>
        </w:rPr>
        <w:t>开工前</w:t>
      </w:r>
    </w:p>
    <w:p w14:paraId="037AF3CB">
      <w:pPr>
        <w:pStyle w:val="196"/>
        <w:pageBreakBefore w:val="0"/>
        <w:numPr>
          <w:ilvl w:val="0"/>
          <w:numId w:val="0"/>
        </w:numPr>
        <w:tabs>
          <w:tab w:val="left" w:pos="99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2.4.2</w:t>
      </w:r>
      <w:r>
        <w:rPr>
          <w:rFonts w:hint="eastAsia" w:ascii="宋体" w:hAnsi="宋体" w:eastAsia="宋体" w:cs="宋体"/>
          <w:color w:val="auto"/>
          <w:spacing w:val="-3"/>
          <w:sz w:val="28"/>
          <w:szCs w:val="28"/>
          <w:highlight w:val="none"/>
        </w:rPr>
        <w:t>提供施工条件</w:t>
      </w:r>
    </w:p>
    <w:p w14:paraId="43E1911D">
      <w:pPr>
        <w:pStyle w:val="19"/>
        <w:pageBreakBefore w:val="0"/>
        <w:tabs>
          <w:tab w:val="left" w:pos="594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应负</w:t>
      </w:r>
      <w:r>
        <w:rPr>
          <w:rFonts w:hint="eastAsia" w:ascii="宋体" w:hAnsi="宋体" w:eastAsia="宋体" w:cs="宋体"/>
          <w:color w:val="auto"/>
          <w:spacing w:val="-3"/>
          <w:sz w:val="28"/>
          <w:szCs w:val="28"/>
          <w:highlight w:val="none"/>
        </w:rPr>
        <w:t>责</w:t>
      </w:r>
      <w:r>
        <w:rPr>
          <w:rFonts w:hint="eastAsia" w:ascii="宋体" w:hAnsi="宋体" w:eastAsia="宋体" w:cs="宋体"/>
          <w:color w:val="auto"/>
          <w:sz w:val="28"/>
          <w:szCs w:val="28"/>
          <w:highlight w:val="none"/>
        </w:rPr>
        <w:t>提供</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工所</w:t>
      </w:r>
      <w:r>
        <w:rPr>
          <w:rFonts w:hint="eastAsia" w:ascii="宋体" w:hAnsi="宋体" w:eastAsia="宋体" w:cs="宋体"/>
          <w:color w:val="auto"/>
          <w:spacing w:val="-3"/>
          <w:sz w:val="28"/>
          <w:szCs w:val="28"/>
          <w:highlight w:val="none"/>
        </w:rPr>
        <w:t>需</w:t>
      </w:r>
      <w:r>
        <w:rPr>
          <w:rFonts w:hint="eastAsia" w:ascii="宋体" w:hAnsi="宋体" w:eastAsia="宋体" w:cs="宋体"/>
          <w:color w:val="auto"/>
          <w:sz w:val="28"/>
          <w:szCs w:val="28"/>
          <w:highlight w:val="none"/>
        </w:rPr>
        <w:t>要的</w:t>
      </w:r>
      <w:r>
        <w:rPr>
          <w:rFonts w:hint="eastAsia" w:ascii="宋体" w:hAnsi="宋体" w:eastAsia="宋体" w:cs="宋体"/>
          <w:color w:val="auto"/>
          <w:spacing w:val="-3"/>
          <w:sz w:val="28"/>
          <w:szCs w:val="28"/>
          <w:highlight w:val="none"/>
        </w:rPr>
        <w:t>条</w:t>
      </w:r>
      <w:r>
        <w:rPr>
          <w:rFonts w:hint="eastAsia" w:ascii="宋体" w:hAnsi="宋体" w:eastAsia="宋体" w:cs="宋体"/>
          <w:color w:val="auto"/>
          <w:sz w:val="28"/>
          <w:szCs w:val="28"/>
          <w:highlight w:val="none"/>
        </w:rPr>
        <w:t>件，</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括：</w:t>
      </w:r>
      <w:r>
        <w:rPr>
          <w:rFonts w:hint="eastAsia" w:ascii="宋体" w:hAnsi="宋体" w:eastAsia="宋体" w:cs="宋体"/>
          <w:color w:val="auto"/>
          <w:sz w:val="28"/>
          <w:szCs w:val="28"/>
          <w:highlight w:val="none"/>
          <w:u w:val="single"/>
          <w:lang w:val="en-US" w:eastAsia="zh-CN"/>
        </w:rPr>
        <w:t>/</w:t>
      </w:r>
    </w:p>
    <w:p w14:paraId="194F15C1">
      <w:pPr>
        <w:pageBreakBefore w:val="0"/>
        <w:numPr>
          <w:ilvl w:val="1"/>
          <w:numId w:val="10"/>
        </w:numPr>
        <w:tabs>
          <w:tab w:val="left" w:pos="777"/>
        </w:tabs>
        <w:kinsoku/>
        <w:overflowPunct/>
        <w:topLinePunct w:val="0"/>
        <w:bidi w:val="0"/>
        <w:snapToGrid/>
        <w:spacing w:before="191" w:line="560" w:lineRule="exact"/>
        <w:ind w:left="776" w:right="48" w:rightChars="23" w:hanging="445"/>
        <w:jc w:val="left"/>
        <w:rPr>
          <w:rFonts w:hint="eastAsia" w:ascii="宋体" w:hAnsi="宋体" w:eastAsia="宋体" w:cs="宋体"/>
          <w:b/>
          <w:color w:val="auto"/>
          <w:sz w:val="28"/>
          <w:szCs w:val="28"/>
          <w:highlight w:val="none"/>
        </w:rPr>
      </w:pPr>
      <w:bookmarkStart w:id="134" w:name="2.5 资金来源证明及支付担保"/>
      <w:bookmarkEnd w:id="134"/>
      <w:bookmarkStart w:id="135" w:name="2.5 资金来源证明及支付担保"/>
      <w:bookmarkEnd w:id="135"/>
      <w:r>
        <w:rPr>
          <w:rFonts w:hint="eastAsia" w:ascii="宋体" w:hAnsi="宋体" w:eastAsia="宋体" w:cs="宋体"/>
          <w:b/>
          <w:color w:val="auto"/>
          <w:sz w:val="28"/>
          <w:szCs w:val="28"/>
          <w:highlight w:val="none"/>
        </w:rPr>
        <w:t>资金来源证明及支付担保</w:t>
      </w:r>
    </w:p>
    <w:p w14:paraId="39AAEA4F">
      <w:pPr>
        <w:pStyle w:val="19"/>
        <w:pageBreakBefore w:val="0"/>
        <w:tabs>
          <w:tab w:val="left" w:pos="6164"/>
        </w:tabs>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资金</w:t>
      </w:r>
      <w:r>
        <w:rPr>
          <w:rFonts w:hint="eastAsia" w:ascii="宋体" w:hAnsi="宋体" w:eastAsia="宋体" w:cs="宋体"/>
          <w:color w:val="auto"/>
          <w:spacing w:val="-3"/>
          <w:sz w:val="28"/>
          <w:szCs w:val="28"/>
          <w:highlight w:val="none"/>
        </w:rPr>
        <w:t>来</w:t>
      </w:r>
      <w:r>
        <w:rPr>
          <w:rFonts w:hint="eastAsia" w:ascii="宋体" w:hAnsi="宋体" w:eastAsia="宋体" w:cs="宋体"/>
          <w:color w:val="auto"/>
          <w:sz w:val="28"/>
          <w:szCs w:val="28"/>
          <w:highlight w:val="none"/>
        </w:rPr>
        <w:t>源证</w:t>
      </w:r>
      <w:r>
        <w:rPr>
          <w:rFonts w:hint="eastAsia" w:ascii="宋体" w:hAnsi="宋体" w:eastAsia="宋体" w:cs="宋体"/>
          <w:color w:val="auto"/>
          <w:spacing w:val="-3"/>
          <w:sz w:val="28"/>
          <w:szCs w:val="28"/>
          <w:highlight w:val="none"/>
        </w:rPr>
        <w:t>明</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要求：</w:t>
      </w:r>
      <w:r>
        <w:rPr>
          <w:rFonts w:hint="eastAsia" w:ascii="宋体" w:hAnsi="宋体" w:eastAsia="宋体" w:cs="宋体"/>
          <w:color w:val="auto"/>
          <w:sz w:val="28"/>
          <w:szCs w:val="28"/>
          <w:highlight w:val="none"/>
          <w:u w:val="single"/>
          <w:lang w:val="en-US" w:eastAsia="zh-CN"/>
        </w:rPr>
        <w:t>/</w:t>
      </w:r>
    </w:p>
    <w:p w14:paraId="5395366B">
      <w:pPr>
        <w:pStyle w:val="19"/>
        <w:pageBreakBefore w:val="0"/>
        <w:tabs>
          <w:tab w:val="left" w:pos="6164"/>
        </w:tabs>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人是</w:t>
      </w:r>
      <w:r>
        <w:rPr>
          <w:rFonts w:hint="eastAsia" w:ascii="宋体" w:hAnsi="宋体" w:eastAsia="宋体" w:cs="宋体"/>
          <w:color w:val="auto"/>
          <w:spacing w:val="-3"/>
          <w:sz w:val="28"/>
          <w:szCs w:val="28"/>
          <w:highlight w:val="none"/>
        </w:rPr>
        <w:t>否</w:t>
      </w:r>
      <w:r>
        <w:rPr>
          <w:rFonts w:hint="eastAsia" w:ascii="宋体" w:hAnsi="宋体" w:eastAsia="宋体" w:cs="宋体"/>
          <w:color w:val="auto"/>
          <w:sz w:val="28"/>
          <w:szCs w:val="28"/>
          <w:highlight w:val="none"/>
        </w:rPr>
        <w:t>提供</w:t>
      </w:r>
      <w:r>
        <w:rPr>
          <w:rFonts w:hint="eastAsia" w:ascii="宋体" w:hAnsi="宋体" w:eastAsia="宋体" w:cs="宋体"/>
          <w:color w:val="auto"/>
          <w:spacing w:val="-3"/>
          <w:sz w:val="28"/>
          <w:szCs w:val="28"/>
          <w:highlight w:val="none"/>
        </w:rPr>
        <w:t>支</w:t>
      </w:r>
      <w:r>
        <w:rPr>
          <w:rFonts w:hint="eastAsia" w:ascii="宋体" w:hAnsi="宋体" w:eastAsia="宋体" w:cs="宋体"/>
          <w:color w:val="auto"/>
          <w:sz w:val="28"/>
          <w:szCs w:val="28"/>
          <w:highlight w:val="none"/>
        </w:rPr>
        <w:t>付担</w:t>
      </w:r>
      <w:r>
        <w:rPr>
          <w:rFonts w:hint="eastAsia" w:ascii="宋体" w:hAnsi="宋体" w:eastAsia="宋体" w:cs="宋体"/>
          <w:color w:val="auto"/>
          <w:spacing w:val="-3"/>
          <w:sz w:val="28"/>
          <w:szCs w:val="28"/>
          <w:highlight w:val="none"/>
        </w:rPr>
        <w:t>保</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36894F02">
      <w:pPr>
        <w:pStyle w:val="19"/>
        <w:pageBreakBefore w:val="0"/>
        <w:tabs>
          <w:tab w:val="left" w:pos="6164"/>
        </w:tabs>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支付</w:t>
      </w:r>
      <w:r>
        <w:rPr>
          <w:rFonts w:hint="eastAsia" w:ascii="宋体" w:hAnsi="宋体" w:eastAsia="宋体" w:cs="宋体"/>
          <w:color w:val="auto"/>
          <w:spacing w:val="-3"/>
          <w:sz w:val="28"/>
          <w:szCs w:val="28"/>
          <w:highlight w:val="none"/>
        </w:rPr>
        <w:t>担</w:t>
      </w:r>
      <w:r>
        <w:rPr>
          <w:rFonts w:hint="eastAsia" w:ascii="宋体" w:hAnsi="宋体" w:eastAsia="宋体" w:cs="宋体"/>
          <w:color w:val="auto"/>
          <w:sz w:val="28"/>
          <w:szCs w:val="28"/>
          <w:highlight w:val="none"/>
        </w:rPr>
        <w:t>保的</w:t>
      </w:r>
      <w:r>
        <w:rPr>
          <w:rFonts w:hint="eastAsia" w:ascii="宋体" w:hAnsi="宋体" w:eastAsia="宋体" w:cs="宋体"/>
          <w:color w:val="auto"/>
          <w:spacing w:val="-3"/>
          <w:sz w:val="28"/>
          <w:szCs w:val="28"/>
          <w:highlight w:val="none"/>
        </w:rPr>
        <w:t>形</w:t>
      </w:r>
      <w:r>
        <w:rPr>
          <w:rFonts w:hint="eastAsia" w:ascii="宋体" w:hAnsi="宋体" w:eastAsia="宋体" w:cs="宋体"/>
          <w:color w:val="auto"/>
          <w:sz w:val="28"/>
          <w:szCs w:val="28"/>
          <w:highlight w:val="none"/>
        </w:rPr>
        <w:t>式：</w:t>
      </w:r>
      <w:r>
        <w:rPr>
          <w:rFonts w:hint="eastAsia" w:ascii="宋体" w:hAnsi="宋体" w:eastAsia="宋体" w:cs="宋体"/>
          <w:color w:val="auto"/>
          <w:sz w:val="28"/>
          <w:szCs w:val="28"/>
          <w:highlight w:val="none"/>
          <w:u w:val="single"/>
          <w:lang w:val="en-US" w:eastAsia="zh-CN"/>
        </w:rPr>
        <w:t>/</w:t>
      </w:r>
    </w:p>
    <w:p w14:paraId="73613E87">
      <w:pPr>
        <w:pageBreakBefore w:val="0"/>
        <w:numPr>
          <w:ilvl w:val="0"/>
          <w:numId w:val="0"/>
        </w:numPr>
        <w:tabs>
          <w:tab w:val="left" w:pos="667"/>
        </w:tabs>
        <w:kinsoku/>
        <w:overflowPunct/>
        <w:topLinePunct w:val="0"/>
        <w:bidi w:val="0"/>
        <w:snapToGrid/>
        <w:spacing w:before="50" w:line="560" w:lineRule="exact"/>
        <w:ind w:left="331" w:leftChars="0" w:right="48" w:rightChars="23"/>
        <w:jc w:val="both"/>
        <w:rPr>
          <w:rFonts w:hint="eastAsia" w:ascii="宋体" w:hAnsi="宋体" w:eastAsia="宋体" w:cs="宋体"/>
          <w:b/>
          <w:color w:val="auto"/>
          <w:sz w:val="28"/>
          <w:szCs w:val="28"/>
          <w:highlight w:val="none"/>
        </w:rPr>
      </w:pPr>
      <w:bookmarkStart w:id="136" w:name="3. 承包人"/>
      <w:bookmarkEnd w:id="136"/>
      <w:bookmarkStart w:id="137" w:name="3. 承包人"/>
      <w:bookmarkEnd w:id="137"/>
      <w:r>
        <w:rPr>
          <w:rFonts w:hint="eastAsia" w:ascii="宋体" w:hAnsi="宋体" w:eastAsia="宋体" w:cs="宋体"/>
          <w:b/>
          <w:color w:val="auto"/>
          <w:sz w:val="28"/>
          <w:szCs w:val="28"/>
          <w:highlight w:val="none"/>
          <w:lang w:val="en-US" w:eastAsia="zh-CN"/>
        </w:rPr>
        <w:t>3.</w:t>
      </w:r>
      <w:r>
        <w:rPr>
          <w:rFonts w:hint="eastAsia" w:ascii="宋体" w:hAnsi="宋体" w:eastAsia="宋体" w:cs="宋体"/>
          <w:b/>
          <w:color w:val="auto"/>
          <w:sz w:val="28"/>
          <w:szCs w:val="28"/>
          <w:highlight w:val="none"/>
        </w:rPr>
        <w:t>承包人</w:t>
      </w:r>
    </w:p>
    <w:p w14:paraId="14B76E23">
      <w:pPr>
        <w:pageBreakBefore w:val="0"/>
        <w:numPr>
          <w:ilvl w:val="0"/>
          <w:numId w:val="0"/>
        </w:numPr>
        <w:tabs>
          <w:tab w:val="left" w:pos="777"/>
        </w:tabs>
        <w:kinsoku/>
        <w:overflowPunct/>
        <w:topLinePunct w:val="0"/>
        <w:bidi w:val="0"/>
        <w:snapToGrid/>
        <w:spacing w:before="0" w:line="560" w:lineRule="exact"/>
        <w:ind w:left="331" w:leftChars="0" w:right="48" w:rightChars="23"/>
        <w:jc w:val="both"/>
        <w:rPr>
          <w:rFonts w:hint="eastAsia" w:ascii="宋体" w:hAnsi="宋体" w:eastAsia="宋体" w:cs="宋体"/>
          <w:b/>
          <w:color w:val="auto"/>
          <w:sz w:val="28"/>
          <w:szCs w:val="28"/>
          <w:highlight w:val="none"/>
        </w:rPr>
      </w:pPr>
      <w:bookmarkStart w:id="138" w:name="3.1 承包人的一般义务"/>
      <w:bookmarkEnd w:id="138"/>
      <w:bookmarkStart w:id="139" w:name="3.1 承包人的一般义务"/>
      <w:bookmarkEnd w:id="139"/>
      <w:r>
        <w:rPr>
          <w:rFonts w:hint="eastAsia" w:ascii="宋体" w:hAnsi="宋体" w:eastAsia="宋体" w:cs="宋体"/>
          <w:b/>
          <w:color w:val="auto"/>
          <w:sz w:val="28"/>
          <w:szCs w:val="28"/>
          <w:highlight w:val="none"/>
          <w:lang w:val="en-US" w:eastAsia="zh-CN"/>
        </w:rPr>
        <w:t>3.1</w:t>
      </w:r>
      <w:r>
        <w:rPr>
          <w:rFonts w:hint="eastAsia" w:ascii="宋体" w:hAnsi="宋体" w:eastAsia="宋体" w:cs="宋体"/>
          <w:b/>
          <w:color w:val="auto"/>
          <w:sz w:val="28"/>
          <w:szCs w:val="28"/>
          <w:highlight w:val="none"/>
        </w:rPr>
        <w:t>承包人的一般义务</w:t>
      </w:r>
    </w:p>
    <w:p w14:paraId="61D71A4D">
      <w:pPr>
        <w:pStyle w:val="196"/>
        <w:pageBreakBefore w:val="0"/>
        <w:numPr>
          <w:ilvl w:val="0"/>
          <w:numId w:val="0"/>
        </w:numPr>
        <w:tabs>
          <w:tab w:val="left" w:pos="886"/>
          <w:tab w:val="left" w:pos="4513"/>
          <w:tab w:val="left" w:pos="5723"/>
        </w:tabs>
        <w:kinsoku/>
        <w:overflowPunct/>
        <w:topLinePunct w:val="0"/>
        <w:bidi w:val="0"/>
        <w:snapToGrid/>
        <w:spacing w:before="0" w:after="0" w:line="560" w:lineRule="exact"/>
        <w:ind w:leftChars="200" w:right="48" w:rightChars="23"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en-US" w:eastAsia="zh-CN"/>
        </w:rPr>
        <w:t>(9)</w:t>
      </w: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的竣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资料</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内容</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lang w:val="en-US" w:eastAsia="zh-CN"/>
        </w:rPr>
        <w:t>1、完整准确的竣工图纸；2、竣工内业资料。</w:t>
      </w:r>
    </w:p>
    <w:p w14:paraId="5373613C">
      <w:pPr>
        <w:pStyle w:val="196"/>
        <w:keepNext w:val="0"/>
        <w:keepLines w:val="0"/>
        <w:pageBreakBefore w:val="0"/>
        <w:widowControl w:val="0"/>
        <w:numPr>
          <w:ilvl w:val="0"/>
          <w:numId w:val="0"/>
        </w:numPr>
        <w:tabs>
          <w:tab w:val="left" w:pos="886"/>
          <w:tab w:val="left" w:pos="4513"/>
          <w:tab w:val="left" w:pos="5723"/>
        </w:tabs>
        <w:kinsoku/>
        <w:wordWrap/>
        <w:overflowPunct/>
        <w:topLinePunct w:val="0"/>
        <w:autoSpaceDE/>
        <w:autoSpaceDN/>
        <w:bidi w:val="0"/>
        <w:adjustRightInd/>
        <w:snapToGrid/>
        <w:spacing w:before="0" w:after="0" w:line="560" w:lineRule="exact"/>
        <w:ind w:left="315" w:leftChars="150" w:right="48" w:rightChars="23" w:firstLine="0" w:firstLineChars="0"/>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人需</w:t>
      </w:r>
      <w:r>
        <w:rPr>
          <w:rFonts w:hint="eastAsia" w:ascii="宋体" w:hAnsi="宋体" w:eastAsia="宋体" w:cs="宋体"/>
          <w:color w:val="auto"/>
          <w:spacing w:val="-3"/>
          <w:sz w:val="28"/>
          <w:szCs w:val="28"/>
          <w:highlight w:val="none"/>
        </w:rPr>
        <w:t>要</w:t>
      </w:r>
      <w:r>
        <w:rPr>
          <w:rFonts w:hint="eastAsia" w:ascii="宋体" w:hAnsi="宋体" w:eastAsia="宋体" w:cs="宋体"/>
          <w:color w:val="auto"/>
          <w:sz w:val="28"/>
          <w:szCs w:val="28"/>
          <w:highlight w:val="none"/>
        </w:rPr>
        <w:t>提交</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资</w:t>
      </w:r>
      <w:r>
        <w:rPr>
          <w:rFonts w:hint="eastAsia" w:ascii="宋体" w:hAnsi="宋体" w:eastAsia="宋体" w:cs="宋体"/>
          <w:color w:val="auto"/>
          <w:sz w:val="28"/>
          <w:szCs w:val="28"/>
          <w:highlight w:val="none"/>
        </w:rPr>
        <w:t>料套</w:t>
      </w:r>
      <w:r>
        <w:rPr>
          <w:rFonts w:hint="eastAsia" w:ascii="宋体" w:hAnsi="宋体" w:eastAsia="宋体" w:cs="宋体"/>
          <w:color w:val="auto"/>
          <w:spacing w:val="-3"/>
          <w:sz w:val="28"/>
          <w:szCs w:val="28"/>
          <w:highlight w:val="none"/>
        </w:rPr>
        <w:t>数</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竣工图六套（要求计算机出图），其中原件五套，电子文件一套；竣工内业资料三套。</w:t>
      </w:r>
    </w:p>
    <w:p w14:paraId="23039E9B">
      <w:pPr>
        <w:pStyle w:val="19"/>
        <w:pageBreakBefore w:val="0"/>
        <w:tabs>
          <w:tab w:val="left" w:pos="4623"/>
          <w:tab w:val="left" w:pos="4734"/>
          <w:tab w:val="left" w:pos="4844"/>
        </w:tabs>
        <w:kinsoku/>
        <w:overflowPunct/>
        <w:topLinePunct w:val="0"/>
        <w:bidi w:val="0"/>
        <w:snapToGrid/>
        <w:spacing w:line="560" w:lineRule="exact"/>
        <w:ind w:left="332" w:right="48" w:rightChars="23" w:firstLine="560" w:firstLineChars="200"/>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的竣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资料</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费用</w:t>
      </w:r>
      <w:r>
        <w:rPr>
          <w:rFonts w:hint="eastAsia" w:ascii="宋体" w:hAnsi="宋体" w:eastAsia="宋体" w:cs="宋体"/>
          <w:color w:val="auto"/>
          <w:spacing w:val="-3"/>
          <w:sz w:val="28"/>
          <w:szCs w:val="28"/>
          <w:highlight w:val="none"/>
        </w:rPr>
        <w:t>承</w:t>
      </w:r>
      <w:r>
        <w:rPr>
          <w:rFonts w:hint="eastAsia" w:ascii="宋体" w:hAnsi="宋体" w:eastAsia="宋体" w:cs="宋体"/>
          <w:color w:val="auto"/>
          <w:sz w:val="28"/>
          <w:szCs w:val="28"/>
          <w:highlight w:val="none"/>
        </w:rPr>
        <w:t>担：</w:t>
      </w:r>
      <w:r>
        <w:rPr>
          <w:rFonts w:hint="eastAsia" w:ascii="宋体" w:hAnsi="宋体" w:eastAsia="宋体" w:cs="宋体"/>
          <w:color w:val="auto"/>
          <w:sz w:val="28"/>
          <w:szCs w:val="28"/>
          <w:highlight w:val="none"/>
          <w:u w:val="single"/>
          <w:lang w:val="en-US" w:eastAsia="zh-CN"/>
        </w:rPr>
        <w:t>发生费用由承包人承担。</w:t>
      </w:r>
    </w:p>
    <w:p w14:paraId="41DC1C0F">
      <w:pPr>
        <w:pStyle w:val="19"/>
        <w:pageBreakBefore w:val="0"/>
        <w:tabs>
          <w:tab w:val="left" w:pos="4623"/>
          <w:tab w:val="left" w:pos="4734"/>
          <w:tab w:val="left" w:pos="4844"/>
        </w:tabs>
        <w:kinsoku/>
        <w:overflowPunct/>
        <w:topLinePunct w:val="0"/>
        <w:bidi w:val="0"/>
        <w:snapToGrid/>
        <w:spacing w:line="560" w:lineRule="exact"/>
        <w:ind w:left="332" w:right="48" w:rightChars="23" w:firstLine="560" w:firstLineChars="200"/>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的竣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资料</w:t>
      </w:r>
      <w:r>
        <w:rPr>
          <w:rFonts w:hint="eastAsia" w:ascii="宋体" w:hAnsi="宋体" w:eastAsia="宋体" w:cs="宋体"/>
          <w:color w:val="auto"/>
          <w:spacing w:val="-3"/>
          <w:sz w:val="28"/>
          <w:szCs w:val="28"/>
          <w:highlight w:val="none"/>
        </w:rPr>
        <w:t>移</w:t>
      </w:r>
      <w:r>
        <w:rPr>
          <w:rFonts w:hint="eastAsia" w:ascii="宋体" w:hAnsi="宋体" w:eastAsia="宋体" w:cs="宋体"/>
          <w:color w:val="auto"/>
          <w:sz w:val="28"/>
          <w:szCs w:val="28"/>
          <w:highlight w:val="none"/>
        </w:rPr>
        <w:t>交时</w:t>
      </w:r>
      <w:r>
        <w:rPr>
          <w:rFonts w:hint="eastAsia" w:ascii="宋体" w:hAnsi="宋体" w:eastAsia="宋体" w:cs="宋体"/>
          <w:color w:val="auto"/>
          <w:spacing w:val="-3"/>
          <w:sz w:val="28"/>
          <w:szCs w:val="28"/>
          <w:highlight w:val="none"/>
        </w:rPr>
        <w:t>间</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竣工验收前</w:t>
      </w:r>
    </w:p>
    <w:p w14:paraId="25BE5FBE">
      <w:pPr>
        <w:pStyle w:val="19"/>
        <w:pageBreakBefore w:val="0"/>
        <w:tabs>
          <w:tab w:val="left" w:pos="4623"/>
          <w:tab w:val="left" w:pos="4734"/>
          <w:tab w:val="left" w:pos="4844"/>
        </w:tabs>
        <w:kinsoku/>
        <w:overflowPunct/>
        <w:topLinePunct w:val="0"/>
        <w:bidi w:val="0"/>
        <w:snapToGrid/>
        <w:spacing w:line="560" w:lineRule="exact"/>
        <w:ind w:left="332" w:right="48" w:rightChars="23"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的竣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资料</w:t>
      </w:r>
      <w:r>
        <w:rPr>
          <w:rFonts w:hint="eastAsia" w:ascii="宋体" w:hAnsi="宋体" w:eastAsia="宋体" w:cs="宋体"/>
          <w:color w:val="auto"/>
          <w:spacing w:val="-3"/>
          <w:sz w:val="28"/>
          <w:szCs w:val="28"/>
          <w:highlight w:val="none"/>
        </w:rPr>
        <w:t>形</w:t>
      </w:r>
      <w:r>
        <w:rPr>
          <w:rFonts w:hint="eastAsia" w:ascii="宋体" w:hAnsi="宋体" w:eastAsia="宋体" w:cs="宋体"/>
          <w:color w:val="auto"/>
          <w:sz w:val="28"/>
          <w:szCs w:val="28"/>
          <w:highlight w:val="none"/>
        </w:rPr>
        <w:t>式要</w:t>
      </w:r>
      <w:r>
        <w:rPr>
          <w:rFonts w:hint="eastAsia" w:ascii="宋体" w:hAnsi="宋体" w:eastAsia="宋体" w:cs="宋体"/>
          <w:color w:val="auto"/>
          <w:spacing w:val="-3"/>
          <w:sz w:val="28"/>
          <w:szCs w:val="28"/>
          <w:highlight w:val="none"/>
        </w:rPr>
        <w:t>求</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书面形式和电子文件</w:t>
      </w:r>
    </w:p>
    <w:p w14:paraId="7AC87B74">
      <w:pPr>
        <w:pStyle w:val="196"/>
        <w:pageBreakBefore w:val="0"/>
        <w:numPr>
          <w:ilvl w:val="0"/>
          <w:numId w:val="0"/>
        </w:numPr>
        <w:tabs>
          <w:tab w:val="left" w:pos="997"/>
          <w:tab w:val="left" w:pos="5063"/>
        </w:tabs>
        <w:kinsoku/>
        <w:overflowPunct/>
        <w:topLinePunct w:val="0"/>
        <w:bidi w:val="0"/>
        <w:snapToGrid/>
        <w:spacing w:before="0" w:after="0" w:line="560" w:lineRule="exact"/>
        <w:ind w:leftChars="200" w:right="48" w:rightChars="23" w:firstLine="274" w:firstLineChars="100"/>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(10)</w:t>
      </w:r>
      <w:r>
        <w:rPr>
          <w:rFonts w:hint="eastAsia" w:ascii="宋体" w:hAnsi="宋体" w:eastAsia="宋体" w:cs="宋体"/>
          <w:color w:val="auto"/>
          <w:spacing w:val="-3"/>
          <w:sz w:val="28"/>
          <w:szCs w:val="28"/>
          <w:highlight w:val="none"/>
        </w:rPr>
        <w:t>承</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履行</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其他</w:t>
      </w:r>
      <w:r>
        <w:rPr>
          <w:rFonts w:hint="eastAsia" w:ascii="宋体" w:hAnsi="宋体" w:eastAsia="宋体" w:cs="宋体"/>
          <w:color w:val="auto"/>
          <w:spacing w:val="-3"/>
          <w:sz w:val="28"/>
          <w:szCs w:val="28"/>
          <w:highlight w:val="none"/>
        </w:rPr>
        <w:t>义</w:t>
      </w:r>
      <w:r>
        <w:rPr>
          <w:rFonts w:hint="eastAsia" w:ascii="宋体" w:hAnsi="宋体" w:eastAsia="宋体" w:cs="宋体"/>
          <w:color w:val="auto"/>
          <w:sz w:val="28"/>
          <w:szCs w:val="28"/>
          <w:highlight w:val="none"/>
        </w:rPr>
        <w:t>务</w:t>
      </w:r>
      <w:r>
        <w:rPr>
          <w:rFonts w:hint="eastAsia" w:ascii="宋体" w:hAnsi="宋体" w:eastAsia="宋体" w:cs="宋体"/>
          <w:color w:val="auto"/>
          <w:spacing w:val="-4"/>
          <w:sz w:val="28"/>
          <w:szCs w:val="28"/>
          <w:highlight w:val="none"/>
        </w:rPr>
        <w:t>：</w:t>
      </w:r>
    </w:p>
    <w:p w14:paraId="3E861EC6">
      <w:pPr>
        <w:pStyle w:val="196"/>
        <w:pageBreakBefore w:val="0"/>
        <w:numPr>
          <w:ilvl w:val="0"/>
          <w:numId w:val="11"/>
        </w:numPr>
        <w:tabs>
          <w:tab w:val="left" w:pos="997"/>
          <w:tab w:val="left" w:pos="5063"/>
        </w:tabs>
        <w:kinsoku/>
        <w:overflowPunct/>
        <w:topLinePunct w:val="0"/>
        <w:bidi w:val="0"/>
        <w:snapToGrid/>
        <w:spacing w:before="0" w:after="0" w:line="560" w:lineRule="exact"/>
        <w:ind w:left="331" w:leftChars="0" w:right="48" w:rightChars="23" w:firstLine="840" w:firstLineChars="300"/>
        <w:jc w:val="left"/>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single"/>
          <w:lang w:val="en-US" w:eastAsia="zh-CN"/>
        </w:rPr>
        <w:t>承包人施工时必须与电信、广电、给水、电力等有关部门密切配合，保质保量完成施工任务。</w:t>
      </w:r>
    </w:p>
    <w:p w14:paraId="400FA229">
      <w:pPr>
        <w:pStyle w:val="196"/>
        <w:pageBreakBefore w:val="0"/>
        <w:numPr>
          <w:ilvl w:val="0"/>
          <w:numId w:val="11"/>
        </w:numPr>
        <w:tabs>
          <w:tab w:val="left" w:pos="997"/>
          <w:tab w:val="left" w:pos="5063"/>
        </w:tabs>
        <w:kinsoku/>
        <w:overflowPunct/>
        <w:topLinePunct w:val="0"/>
        <w:bidi w:val="0"/>
        <w:snapToGrid/>
        <w:spacing w:before="0" w:after="0" w:line="560" w:lineRule="exact"/>
        <w:ind w:left="660" w:leftChars="0" w:right="48" w:rightChars="23" w:firstLine="840" w:firstLineChars="3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val="en-US" w:eastAsia="zh-CN"/>
        </w:rPr>
        <w:t>承包人在施工时，必须全面协调好与周边环境关系，施工时承包人因自身原因未处理好周边环境关系而导致工程停工的，发包人将不承担由此引出的工期延误及其他工程费用损失。</w:t>
      </w:r>
    </w:p>
    <w:p w14:paraId="0EFEC5E6">
      <w:pPr>
        <w:pageBreakBefore w:val="0"/>
        <w:numPr>
          <w:ilvl w:val="0"/>
          <w:numId w:val="0"/>
        </w:numPr>
        <w:tabs>
          <w:tab w:val="left" w:pos="777"/>
        </w:tabs>
        <w:kinsoku/>
        <w:overflowPunct/>
        <w:topLinePunct w:val="0"/>
        <w:bidi w:val="0"/>
        <w:snapToGrid/>
        <w:spacing w:before="187" w:line="560" w:lineRule="exact"/>
        <w:ind w:left="331" w:leftChars="0" w:right="48" w:rightChars="23"/>
        <w:jc w:val="both"/>
        <w:rPr>
          <w:rFonts w:hint="eastAsia" w:ascii="宋体" w:hAnsi="宋体" w:eastAsia="宋体" w:cs="宋体"/>
          <w:b/>
          <w:color w:val="auto"/>
          <w:sz w:val="28"/>
          <w:szCs w:val="28"/>
          <w:highlight w:val="none"/>
        </w:rPr>
      </w:pPr>
      <w:bookmarkStart w:id="140" w:name="3.2 项目经理"/>
      <w:bookmarkEnd w:id="140"/>
      <w:bookmarkStart w:id="141" w:name="3.2 项目经理"/>
      <w:bookmarkEnd w:id="141"/>
      <w:r>
        <w:rPr>
          <w:rFonts w:hint="eastAsia" w:ascii="宋体" w:hAnsi="宋体" w:eastAsia="宋体" w:cs="宋体"/>
          <w:b/>
          <w:color w:val="auto"/>
          <w:sz w:val="28"/>
          <w:szCs w:val="28"/>
          <w:highlight w:val="none"/>
          <w:lang w:val="en-US" w:eastAsia="zh-CN"/>
        </w:rPr>
        <w:t>3.2</w:t>
      </w:r>
      <w:r>
        <w:rPr>
          <w:rFonts w:hint="eastAsia" w:ascii="宋体" w:hAnsi="宋体" w:eastAsia="宋体" w:cs="宋体"/>
          <w:b/>
          <w:color w:val="auto"/>
          <w:sz w:val="28"/>
          <w:szCs w:val="28"/>
          <w:highlight w:val="none"/>
        </w:rPr>
        <w:t>项目经理</w:t>
      </w:r>
    </w:p>
    <w:p w14:paraId="15A9A17F">
      <w:pPr>
        <w:pStyle w:val="196"/>
        <w:pageBreakBefore w:val="0"/>
        <w:numPr>
          <w:ilvl w:val="0"/>
          <w:numId w:val="0"/>
        </w:numPr>
        <w:tabs>
          <w:tab w:val="left" w:pos="993"/>
        </w:tabs>
        <w:kinsoku/>
        <w:overflowPunct/>
        <w:topLinePunct w:val="0"/>
        <w:bidi w:val="0"/>
        <w:snapToGrid/>
        <w:spacing w:before="1" w:after="0" w:line="560" w:lineRule="exact"/>
        <w:ind w:left="331" w:leftChars="0"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3.2.1</w:t>
      </w:r>
      <w:r>
        <w:rPr>
          <w:rFonts w:hint="eastAsia" w:ascii="宋体" w:hAnsi="宋体" w:eastAsia="宋体" w:cs="宋体"/>
          <w:color w:val="auto"/>
          <w:spacing w:val="-2"/>
          <w:sz w:val="28"/>
          <w:szCs w:val="28"/>
          <w:highlight w:val="none"/>
        </w:rPr>
        <w:t>项目经理：</w:t>
      </w:r>
    </w:p>
    <w:p w14:paraId="42403CD6">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姓名：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w:t>
      </w:r>
    </w:p>
    <w:p w14:paraId="34E9824E">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身份证号：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692FC86F">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建造师执业资格等级：</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796ADC36">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建造师注册证书号：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3CE97E59">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建造师执业印章号：</w:t>
      </w:r>
      <w:r>
        <w:rPr>
          <w:rFonts w:hint="eastAsia" w:ascii="宋体" w:hAnsi="宋体" w:eastAsia="宋体" w:cs="宋体"/>
          <w:color w:val="auto"/>
          <w:sz w:val="28"/>
          <w:szCs w:val="28"/>
          <w:highlight w:val="none"/>
          <w:u w:val="single"/>
          <w:lang w:val="en-US" w:eastAsia="zh-CN"/>
        </w:rPr>
        <w:t xml:space="preserve">    /     </w:t>
      </w:r>
      <w:r>
        <w:rPr>
          <w:rFonts w:hint="eastAsia" w:ascii="宋体" w:hAnsi="宋体" w:eastAsia="宋体" w:cs="宋体"/>
          <w:color w:val="auto"/>
          <w:sz w:val="28"/>
          <w:szCs w:val="28"/>
          <w:highlight w:val="none"/>
          <w:lang w:val="en-US" w:eastAsia="zh-CN"/>
        </w:rPr>
        <w:t xml:space="preserve">  ；</w:t>
      </w:r>
    </w:p>
    <w:p w14:paraId="246767FD">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lang w:val="en-US" w:eastAsia="zh-CN"/>
        </w:rPr>
        <w:t xml:space="preserve">安全生产考核合格证书号：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w:t>
      </w:r>
    </w:p>
    <w:p w14:paraId="15A03014">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联系电话：</w:t>
      </w:r>
      <w:r>
        <w:rPr>
          <w:rFonts w:hint="eastAsia" w:ascii="宋体" w:hAnsi="宋体" w:eastAsia="宋体" w:cs="宋体"/>
          <w:strike w:val="0"/>
          <w:dstrike w:val="0"/>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w:t>
      </w:r>
    </w:p>
    <w:p w14:paraId="3240F999">
      <w:pPr>
        <w:pStyle w:val="19"/>
        <w:pageBreakBefore w:val="0"/>
        <w:tabs>
          <w:tab w:val="left" w:pos="5006"/>
          <w:tab w:val="left" w:pos="5504"/>
        </w:tabs>
        <w:kinsoku/>
        <w:overflowPunct/>
        <w:topLinePunct w:val="0"/>
        <w:bidi w:val="0"/>
        <w:snapToGrid/>
        <w:spacing w:line="50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电子信箱：</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 xml:space="preserve"> ；</w:t>
      </w:r>
    </w:p>
    <w:p w14:paraId="7E92F1EC">
      <w:pPr>
        <w:pStyle w:val="19"/>
        <w:pageBreakBefore w:val="0"/>
        <w:tabs>
          <w:tab w:val="left" w:pos="5006"/>
          <w:tab w:val="left" w:pos="5504"/>
        </w:tabs>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rPr>
        <w:t>通信地址</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w:t>
      </w:r>
    </w:p>
    <w:p w14:paraId="4F00B8BB">
      <w:pPr>
        <w:pStyle w:val="19"/>
        <w:pageBreakBefore w:val="0"/>
        <w:tabs>
          <w:tab w:val="left" w:pos="5006"/>
          <w:tab w:val="left" w:pos="5504"/>
        </w:tabs>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3.2.2</w:t>
      </w: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人对</w:t>
      </w:r>
      <w:r>
        <w:rPr>
          <w:rFonts w:hint="eastAsia" w:ascii="宋体" w:hAnsi="宋体" w:eastAsia="宋体" w:cs="宋体"/>
          <w:color w:val="auto"/>
          <w:spacing w:val="-3"/>
          <w:sz w:val="28"/>
          <w:szCs w:val="28"/>
          <w:highlight w:val="none"/>
        </w:rPr>
        <w:t>项</w:t>
      </w:r>
      <w:r>
        <w:rPr>
          <w:rFonts w:hint="eastAsia" w:ascii="宋体" w:hAnsi="宋体" w:eastAsia="宋体" w:cs="宋体"/>
          <w:color w:val="auto"/>
          <w:sz w:val="28"/>
          <w:szCs w:val="28"/>
          <w:highlight w:val="none"/>
        </w:rPr>
        <w:t>目经</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的授</w:t>
      </w:r>
      <w:r>
        <w:rPr>
          <w:rFonts w:hint="eastAsia" w:ascii="宋体" w:hAnsi="宋体" w:eastAsia="宋体" w:cs="宋体"/>
          <w:color w:val="auto"/>
          <w:spacing w:val="-3"/>
          <w:sz w:val="28"/>
          <w:szCs w:val="28"/>
          <w:highlight w:val="none"/>
        </w:rPr>
        <w:t>权</w:t>
      </w:r>
      <w:r>
        <w:rPr>
          <w:rFonts w:hint="eastAsia" w:ascii="宋体" w:hAnsi="宋体" w:eastAsia="宋体" w:cs="宋体"/>
          <w:color w:val="auto"/>
          <w:sz w:val="28"/>
          <w:szCs w:val="28"/>
          <w:highlight w:val="none"/>
        </w:rPr>
        <w:t>范围</w:t>
      </w:r>
      <w:r>
        <w:rPr>
          <w:rFonts w:hint="eastAsia" w:ascii="宋体" w:hAnsi="宋体" w:eastAsia="宋体" w:cs="宋体"/>
          <w:color w:val="auto"/>
          <w:spacing w:val="-3"/>
          <w:sz w:val="28"/>
          <w:szCs w:val="28"/>
          <w:highlight w:val="none"/>
        </w:rPr>
        <w:t>如</w:t>
      </w:r>
      <w:r>
        <w:rPr>
          <w:rFonts w:hint="eastAsia" w:ascii="宋体" w:hAnsi="宋体" w:eastAsia="宋体" w:cs="宋体"/>
          <w:color w:val="auto"/>
          <w:sz w:val="28"/>
          <w:szCs w:val="28"/>
          <w:highlight w:val="none"/>
        </w:rPr>
        <w:t>下：</w:t>
      </w:r>
    </w:p>
    <w:p w14:paraId="2A77138B">
      <w:pPr>
        <w:pStyle w:val="19"/>
        <w:pageBreakBefore w:val="0"/>
        <w:tabs>
          <w:tab w:val="left" w:pos="9023"/>
        </w:tabs>
        <w:kinsoku/>
        <w:overflowPunct/>
        <w:topLinePunct w:val="0"/>
        <w:bidi w:val="0"/>
        <w:snapToGrid/>
        <w:spacing w:before="14"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项目</w:t>
      </w:r>
      <w:r>
        <w:rPr>
          <w:rFonts w:hint="eastAsia" w:ascii="宋体" w:hAnsi="宋体" w:eastAsia="宋体" w:cs="宋体"/>
          <w:color w:val="auto"/>
          <w:spacing w:val="-3"/>
          <w:sz w:val="28"/>
          <w:szCs w:val="28"/>
          <w:highlight w:val="none"/>
        </w:rPr>
        <w:t>经</w:t>
      </w:r>
      <w:r>
        <w:rPr>
          <w:rFonts w:hint="eastAsia" w:ascii="宋体" w:hAnsi="宋体" w:eastAsia="宋体" w:cs="宋体"/>
          <w:color w:val="auto"/>
          <w:sz w:val="28"/>
          <w:szCs w:val="28"/>
          <w:highlight w:val="none"/>
        </w:rPr>
        <w:t>理每</w:t>
      </w:r>
      <w:r>
        <w:rPr>
          <w:rFonts w:hint="eastAsia" w:ascii="宋体" w:hAnsi="宋体" w:eastAsia="宋体" w:cs="宋体"/>
          <w:color w:val="auto"/>
          <w:spacing w:val="-3"/>
          <w:sz w:val="28"/>
          <w:szCs w:val="28"/>
          <w:highlight w:val="none"/>
        </w:rPr>
        <w:t>月</w:t>
      </w:r>
      <w:r>
        <w:rPr>
          <w:rFonts w:hint="eastAsia" w:ascii="宋体" w:hAnsi="宋体" w:eastAsia="宋体" w:cs="宋体"/>
          <w:color w:val="auto"/>
          <w:sz w:val="28"/>
          <w:szCs w:val="28"/>
          <w:highlight w:val="none"/>
        </w:rPr>
        <w:t>在施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现场</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时间</w:t>
      </w:r>
      <w:r>
        <w:rPr>
          <w:rFonts w:hint="eastAsia" w:ascii="宋体" w:hAnsi="宋体" w:eastAsia="宋体" w:cs="宋体"/>
          <w:color w:val="auto"/>
          <w:spacing w:val="-3"/>
          <w:sz w:val="28"/>
          <w:szCs w:val="28"/>
          <w:highlight w:val="none"/>
        </w:rPr>
        <w:t>要</w:t>
      </w:r>
      <w:r>
        <w:rPr>
          <w:rFonts w:hint="eastAsia" w:ascii="宋体" w:hAnsi="宋体" w:eastAsia="宋体" w:cs="宋体"/>
          <w:color w:val="auto"/>
          <w:sz w:val="28"/>
          <w:szCs w:val="28"/>
          <w:highlight w:val="none"/>
        </w:rPr>
        <w:t>求：</w:t>
      </w:r>
    </w:p>
    <w:p w14:paraId="31CC8468">
      <w:pPr>
        <w:pStyle w:val="19"/>
        <w:pageBreakBefore w:val="0"/>
        <w:tabs>
          <w:tab w:val="left" w:pos="9023"/>
        </w:tabs>
        <w:kinsoku/>
        <w:overflowPunct/>
        <w:topLinePunct w:val="0"/>
        <w:bidi w:val="0"/>
        <w:snapToGrid/>
        <w:spacing w:before="14" w:line="560" w:lineRule="exact"/>
        <w:ind w:left="332" w:right="48" w:rightChars="23"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人未</w:t>
      </w:r>
      <w:r>
        <w:rPr>
          <w:rFonts w:hint="eastAsia" w:ascii="宋体" w:hAnsi="宋体" w:eastAsia="宋体" w:cs="宋体"/>
          <w:color w:val="auto"/>
          <w:spacing w:val="-3"/>
          <w:sz w:val="28"/>
          <w:szCs w:val="28"/>
          <w:highlight w:val="none"/>
        </w:rPr>
        <w:t>提</w:t>
      </w:r>
      <w:r>
        <w:rPr>
          <w:rFonts w:hint="eastAsia" w:ascii="宋体" w:hAnsi="宋体" w:eastAsia="宋体" w:cs="宋体"/>
          <w:color w:val="auto"/>
          <w:sz w:val="28"/>
          <w:szCs w:val="28"/>
          <w:highlight w:val="none"/>
        </w:rPr>
        <w:t>交劳</w:t>
      </w:r>
      <w:r>
        <w:rPr>
          <w:rFonts w:hint="eastAsia" w:ascii="宋体" w:hAnsi="宋体" w:eastAsia="宋体" w:cs="宋体"/>
          <w:color w:val="auto"/>
          <w:spacing w:val="-3"/>
          <w:sz w:val="28"/>
          <w:szCs w:val="28"/>
          <w:highlight w:val="none"/>
        </w:rPr>
        <w:t>动</w:t>
      </w:r>
      <w:r>
        <w:rPr>
          <w:rFonts w:hint="eastAsia" w:ascii="宋体" w:hAnsi="宋体" w:eastAsia="宋体" w:cs="宋体"/>
          <w:color w:val="auto"/>
          <w:sz w:val="28"/>
          <w:szCs w:val="28"/>
          <w:highlight w:val="none"/>
        </w:rPr>
        <w:t>合同</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以及</w:t>
      </w:r>
      <w:r>
        <w:rPr>
          <w:rFonts w:hint="eastAsia" w:ascii="宋体" w:hAnsi="宋体" w:eastAsia="宋体" w:cs="宋体"/>
          <w:color w:val="auto"/>
          <w:spacing w:val="-3"/>
          <w:sz w:val="28"/>
          <w:szCs w:val="28"/>
          <w:highlight w:val="none"/>
        </w:rPr>
        <w:t>没</w:t>
      </w:r>
      <w:r>
        <w:rPr>
          <w:rFonts w:hint="eastAsia" w:ascii="宋体" w:hAnsi="宋体" w:eastAsia="宋体" w:cs="宋体"/>
          <w:color w:val="auto"/>
          <w:sz w:val="28"/>
          <w:szCs w:val="28"/>
          <w:highlight w:val="none"/>
        </w:rPr>
        <w:t>有为</w:t>
      </w:r>
      <w:r>
        <w:rPr>
          <w:rFonts w:hint="eastAsia" w:ascii="宋体" w:hAnsi="宋体" w:eastAsia="宋体" w:cs="宋体"/>
          <w:color w:val="auto"/>
          <w:spacing w:val="-3"/>
          <w:sz w:val="28"/>
          <w:szCs w:val="28"/>
          <w:highlight w:val="none"/>
        </w:rPr>
        <w:t>项</w:t>
      </w:r>
      <w:r>
        <w:rPr>
          <w:rFonts w:hint="eastAsia" w:ascii="宋体" w:hAnsi="宋体" w:eastAsia="宋体" w:cs="宋体"/>
          <w:color w:val="auto"/>
          <w:sz w:val="28"/>
          <w:szCs w:val="28"/>
          <w:highlight w:val="none"/>
        </w:rPr>
        <w:t>目经</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缴纳</w:t>
      </w:r>
      <w:r>
        <w:rPr>
          <w:rFonts w:hint="eastAsia" w:ascii="宋体" w:hAnsi="宋体" w:eastAsia="宋体" w:cs="宋体"/>
          <w:color w:val="auto"/>
          <w:spacing w:val="-3"/>
          <w:sz w:val="28"/>
          <w:szCs w:val="28"/>
          <w:highlight w:val="none"/>
        </w:rPr>
        <w:t>社</w:t>
      </w:r>
      <w:r>
        <w:rPr>
          <w:rFonts w:hint="eastAsia" w:ascii="宋体" w:hAnsi="宋体" w:eastAsia="宋体" w:cs="宋体"/>
          <w:color w:val="auto"/>
          <w:sz w:val="28"/>
          <w:szCs w:val="28"/>
          <w:highlight w:val="none"/>
        </w:rPr>
        <w:t>会保</w:t>
      </w:r>
      <w:r>
        <w:rPr>
          <w:rFonts w:hint="eastAsia" w:ascii="宋体" w:hAnsi="宋体" w:eastAsia="宋体" w:cs="宋体"/>
          <w:color w:val="auto"/>
          <w:spacing w:val="-3"/>
          <w:sz w:val="28"/>
          <w:szCs w:val="28"/>
          <w:highlight w:val="none"/>
        </w:rPr>
        <w:t>险</w:t>
      </w:r>
      <w:r>
        <w:rPr>
          <w:rFonts w:hint="eastAsia" w:ascii="宋体" w:hAnsi="宋体" w:eastAsia="宋体" w:cs="宋体"/>
          <w:color w:val="auto"/>
          <w:sz w:val="28"/>
          <w:szCs w:val="28"/>
          <w:highlight w:val="none"/>
        </w:rPr>
        <w:t>证明</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违约</w:t>
      </w:r>
      <w:r>
        <w:rPr>
          <w:rFonts w:hint="eastAsia" w:ascii="宋体" w:hAnsi="宋体" w:eastAsia="宋体" w:cs="宋体"/>
          <w:color w:val="auto"/>
          <w:spacing w:val="-3"/>
          <w:sz w:val="28"/>
          <w:szCs w:val="28"/>
          <w:highlight w:val="none"/>
        </w:rPr>
        <w:t>责</w:t>
      </w:r>
      <w:r>
        <w:rPr>
          <w:rFonts w:hint="eastAsia" w:ascii="宋体" w:hAnsi="宋体" w:eastAsia="宋体" w:cs="宋体"/>
          <w:color w:val="auto"/>
          <w:sz w:val="28"/>
          <w:szCs w:val="28"/>
          <w:highlight w:val="none"/>
        </w:rPr>
        <w:t>任：</w:t>
      </w:r>
    </w:p>
    <w:p w14:paraId="20B3E832">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项目经理未经批准，擅自离开施工现场的违约责任：</w:t>
      </w:r>
      <w:r>
        <w:rPr>
          <w:rFonts w:hint="eastAsia" w:ascii="宋体" w:hAnsi="宋体" w:eastAsia="宋体" w:cs="宋体"/>
          <w:color w:val="auto"/>
          <w:sz w:val="28"/>
          <w:szCs w:val="28"/>
          <w:highlight w:val="none"/>
          <w:u w:val="single"/>
        </w:rPr>
        <w:t>未经业主批准擅自离开施工现场的，承包人接到发包人通知后及时调回</w:t>
      </w:r>
    </w:p>
    <w:p w14:paraId="2E976234">
      <w:pPr>
        <w:pStyle w:val="196"/>
        <w:pageBreakBefore w:val="0"/>
        <w:numPr>
          <w:ilvl w:val="2"/>
          <w:numId w:val="0"/>
        </w:numPr>
        <w:tabs>
          <w:tab w:val="left" w:pos="993"/>
        </w:tabs>
        <w:kinsoku/>
        <w:overflowPunct/>
        <w:topLinePunct w:val="0"/>
        <w:bidi w:val="0"/>
        <w:snapToGrid/>
        <w:spacing w:before="50" w:after="0" w:line="560" w:lineRule="exact"/>
        <w:ind w:left="992" w:leftChars="0" w:right="48" w:rightChars="23" w:hanging="661"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pacing w:val="-1"/>
          <w:w w:val="100"/>
          <w:kern w:val="2"/>
          <w:sz w:val="28"/>
          <w:szCs w:val="28"/>
          <w:lang w:val="en-US" w:eastAsia="zh-CN" w:bidi="zh-CN"/>
        </w:rPr>
        <w:t>3.2.3</w:t>
      </w:r>
      <w:r>
        <w:rPr>
          <w:rFonts w:hint="eastAsia" w:ascii="宋体" w:hAnsi="宋体" w:eastAsia="宋体" w:cs="宋体"/>
          <w:color w:val="auto"/>
          <w:spacing w:val="-3"/>
          <w:sz w:val="28"/>
          <w:szCs w:val="28"/>
          <w:highlight w:val="none"/>
        </w:rPr>
        <w:t>承包人擅自更换项目经理的违约责任：</w:t>
      </w:r>
      <w:r>
        <w:rPr>
          <w:rFonts w:hint="eastAsia" w:ascii="宋体" w:hAnsi="宋体" w:eastAsia="宋体" w:cs="宋体"/>
          <w:color w:val="auto"/>
          <w:spacing w:val="-3"/>
          <w:sz w:val="28"/>
          <w:szCs w:val="28"/>
          <w:highlight w:val="none"/>
          <w:u w:val="single"/>
        </w:rPr>
        <w:t>承包人项目经理必须与承包人投标时所承诺的人员一</w:t>
      </w:r>
      <w:r>
        <w:rPr>
          <w:rFonts w:hint="eastAsia" w:ascii="宋体" w:hAnsi="宋体" w:eastAsia="宋体" w:cs="宋体"/>
          <w:strike w:val="0"/>
          <w:dstrike w:val="0"/>
          <w:color w:val="auto"/>
          <w:sz w:val="28"/>
          <w:szCs w:val="28"/>
          <w:highlight w:val="none"/>
        </w:rPr>
        <w:t>致</w:t>
      </w:r>
      <w:r>
        <w:rPr>
          <w:rFonts w:hint="eastAsia" w:ascii="宋体" w:hAnsi="宋体" w:eastAsia="宋体" w:cs="宋体"/>
          <w:strike w:val="0"/>
          <w:dstrike w:val="0"/>
          <w:color w:val="auto"/>
          <w:spacing w:val="-8"/>
          <w:sz w:val="28"/>
          <w:szCs w:val="28"/>
          <w:highlight w:val="none"/>
        </w:rPr>
        <w:t>，</w:t>
      </w:r>
      <w:r>
        <w:rPr>
          <w:rFonts w:hint="eastAsia" w:ascii="宋体" w:hAnsi="宋体" w:eastAsia="宋体" w:cs="宋体"/>
          <w:strike w:val="0"/>
          <w:dstrike w:val="0"/>
          <w:color w:val="auto"/>
          <w:sz w:val="28"/>
          <w:szCs w:val="28"/>
          <w:highlight w:val="none"/>
        </w:rPr>
        <w:t>并在</w:t>
      </w:r>
      <w:r>
        <w:rPr>
          <w:rFonts w:hint="eastAsia" w:ascii="宋体" w:hAnsi="宋体" w:eastAsia="宋体" w:cs="宋体"/>
          <w:strike w:val="0"/>
          <w:dstrike w:val="0"/>
          <w:color w:val="auto"/>
          <w:sz w:val="28"/>
          <w:szCs w:val="28"/>
          <w:highlight w:val="none"/>
          <w:u w:val="single"/>
          <w:lang w:val="en-US" w:eastAsia="zh-CN"/>
        </w:rPr>
        <w:t>项目开工</w:t>
      </w:r>
      <w:r>
        <w:rPr>
          <w:rFonts w:hint="eastAsia" w:ascii="宋体" w:hAnsi="宋体" w:eastAsia="宋体" w:cs="宋体"/>
          <w:strike w:val="0"/>
          <w:dstrike w:val="0"/>
          <w:color w:val="auto"/>
          <w:sz w:val="28"/>
          <w:szCs w:val="28"/>
          <w:highlight w:val="none"/>
        </w:rPr>
        <w:t>前</w:t>
      </w:r>
      <w:r>
        <w:rPr>
          <w:rFonts w:hint="eastAsia" w:ascii="宋体" w:hAnsi="宋体" w:eastAsia="宋体" w:cs="宋体"/>
          <w:strike w:val="0"/>
          <w:dstrike w:val="0"/>
          <w:color w:val="auto"/>
          <w:spacing w:val="-3"/>
          <w:sz w:val="28"/>
          <w:szCs w:val="28"/>
          <w:highlight w:val="none"/>
        </w:rPr>
        <w:t>到</w:t>
      </w:r>
      <w:r>
        <w:rPr>
          <w:rFonts w:hint="eastAsia" w:ascii="宋体" w:hAnsi="宋体" w:eastAsia="宋体" w:cs="宋体"/>
          <w:strike w:val="0"/>
          <w:dstrike w:val="0"/>
          <w:color w:val="auto"/>
          <w:sz w:val="28"/>
          <w:szCs w:val="28"/>
          <w:highlight w:val="none"/>
        </w:rPr>
        <w:t>任</w:t>
      </w:r>
      <w:r>
        <w:rPr>
          <w:rFonts w:hint="eastAsia" w:ascii="宋体" w:hAnsi="宋体" w:eastAsia="宋体" w:cs="宋体"/>
          <w:strike w:val="0"/>
          <w:dstrike w:val="0"/>
          <w:color w:val="auto"/>
          <w:spacing w:val="-8"/>
          <w:sz w:val="28"/>
          <w:szCs w:val="28"/>
          <w:highlight w:val="none"/>
        </w:rPr>
        <w:t>。</w:t>
      </w:r>
      <w:r>
        <w:rPr>
          <w:rFonts w:hint="eastAsia" w:ascii="宋体" w:hAnsi="宋体" w:eastAsia="宋体" w:cs="宋体"/>
          <w:strike w:val="0"/>
          <w:dstrike w:val="0"/>
          <w:color w:val="auto"/>
          <w:sz w:val="28"/>
          <w:szCs w:val="28"/>
          <w:highlight w:val="none"/>
        </w:rPr>
        <w:t>在</w:t>
      </w:r>
      <w:r>
        <w:rPr>
          <w:rFonts w:hint="eastAsia" w:ascii="宋体" w:hAnsi="宋体" w:eastAsia="宋体" w:cs="宋体"/>
          <w:strike w:val="0"/>
          <w:dstrike w:val="0"/>
          <w:color w:val="auto"/>
          <w:spacing w:val="-3"/>
          <w:sz w:val="28"/>
          <w:szCs w:val="28"/>
          <w:highlight w:val="none"/>
        </w:rPr>
        <w:t>监</w:t>
      </w:r>
      <w:r>
        <w:rPr>
          <w:rFonts w:hint="eastAsia" w:ascii="宋体" w:hAnsi="宋体" w:eastAsia="宋体" w:cs="宋体"/>
          <w:strike w:val="0"/>
          <w:dstrike w:val="0"/>
          <w:color w:val="auto"/>
          <w:sz w:val="28"/>
          <w:szCs w:val="28"/>
          <w:highlight w:val="none"/>
        </w:rPr>
        <w:t>理人</w:t>
      </w:r>
      <w:r>
        <w:rPr>
          <w:rFonts w:hint="eastAsia" w:ascii="宋体" w:hAnsi="宋体" w:eastAsia="宋体" w:cs="宋体"/>
          <w:strike w:val="0"/>
          <w:dstrike w:val="0"/>
          <w:color w:val="auto"/>
          <w:spacing w:val="-3"/>
          <w:sz w:val="28"/>
          <w:szCs w:val="28"/>
          <w:highlight w:val="none"/>
        </w:rPr>
        <w:t>向</w:t>
      </w:r>
      <w:r>
        <w:rPr>
          <w:rFonts w:hint="eastAsia" w:ascii="宋体" w:hAnsi="宋体" w:eastAsia="宋体" w:cs="宋体"/>
          <w:strike w:val="0"/>
          <w:dstrike w:val="0"/>
          <w:color w:val="auto"/>
          <w:sz w:val="28"/>
          <w:szCs w:val="28"/>
          <w:highlight w:val="none"/>
        </w:rPr>
        <w:t>承包</w:t>
      </w:r>
      <w:r>
        <w:rPr>
          <w:rFonts w:hint="eastAsia" w:ascii="宋体" w:hAnsi="宋体" w:eastAsia="宋体" w:cs="宋体"/>
          <w:strike w:val="0"/>
          <w:dstrike w:val="0"/>
          <w:color w:val="auto"/>
          <w:spacing w:val="-3"/>
          <w:sz w:val="28"/>
          <w:szCs w:val="28"/>
          <w:highlight w:val="none"/>
        </w:rPr>
        <w:t>人</w:t>
      </w:r>
      <w:r>
        <w:rPr>
          <w:rFonts w:hint="eastAsia" w:ascii="宋体" w:hAnsi="宋体" w:eastAsia="宋体" w:cs="宋体"/>
          <w:strike w:val="0"/>
          <w:dstrike w:val="0"/>
          <w:color w:val="auto"/>
          <w:sz w:val="28"/>
          <w:szCs w:val="28"/>
          <w:highlight w:val="none"/>
        </w:rPr>
        <w:t>颁发竣</w:t>
      </w:r>
      <w:r>
        <w:rPr>
          <w:rFonts w:hint="eastAsia" w:ascii="宋体" w:hAnsi="宋体" w:eastAsia="宋体" w:cs="宋体"/>
          <w:strike w:val="0"/>
          <w:dstrike w:val="0"/>
          <w:color w:val="auto"/>
          <w:spacing w:val="-3"/>
          <w:sz w:val="28"/>
          <w:szCs w:val="28"/>
          <w:highlight w:val="none"/>
        </w:rPr>
        <w:t>工</w:t>
      </w:r>
      <w:r>
        <w:rPr>
          <w:rFonts w:hint="eastAsia" w:ascii="宋体" w:hAnsi="宋体" w:eastAsia="宋体" w:cs="宋体"/>
          <w:strike w:val="0"/>
          <w:dstrike w:val="0"/>
          <w:color w:val="auto"/>
          <w:sz w:val="28"/>
          <w:szCs w:val="28"/>
          <w:highlight w:val="none"/>
        </w:rPr>
        <w:t>证明</w:t>
      </w:r>
      <w:r>
        <w:rPr>
          <w:rFonts w:hint="eastAsia" w:ascii="宋体" w:hAnsi="宋体" w:eastAsia="宋体" w:cs="宋体"/>
          <w:strike w:val="0"/>
          <w:dstrike w:val="0"/>
          <w:color w:val="auto"/>
          <w:spacing w:val="-3"/>
          <w:sz w:val="28"/>
          <w:szCs w:val="28"/>
          <w:highlight w:val="none"/>
        </w:rPr>
        <w:t>材</w:t>
      </w:r>
      <w:r>
        <w:rPr>
          <w:rFonts w:hint="eastAsia" w:ascii="宋体" w:hAnsi="宋体" w:eastAsia="宋体" w:cs="宋体"/>
          <w:strike w:val="0"/>
          <w:dstrike w:val="0"/>
          <w:color w:val="auto"/>
          <w:sz w:val="28"/>
          <w:szCs w:val="28"/>
          <w:highlight w:val="none"/>
        </w:rPr>
        <w:t>料</w:t>
      </w:r>
      <w:r>
        <w:rPr>
          <w:rFonts w:hint="eastAsia" w:ascii="宋体" w:hAnsi="宋体" w:eastAsia="宋体" w:cs="宋体"/>
          <w:strike w:val="0"/>
          <w:dstrike w:val="0"/>
          <w:color w:val="auto"/>
          <w:spacing w:val="-3"/>
          <w:sz w:val="28"/>
          <w:szCs w:val="28"/>
          <w:highlight w:val="none"/>
        </w:rPr>
        <w:t>前</w:t>
      </w:r>
      <w:r>
        <w:rPr>
          <w:rFonts w:hint="eastAsia" w:ascii="宋体" w:hAnsi="宋体" w:eastAsia="宋体" w:cs="宋体"/>
          <w:strike w:val="0"/>
          <w:dstrike w:val="0"/>
          <w:color w:val="auto"/>
          <w:spacing w:val="-5"/>
          <w:sz w:val="28"/>
          <w:szCs w:val="28"/>
          <w:highlight w:val="none"/>
        </w:rPr>
        <w:t>，</w:t>
      </w:r>
      <w:r>
        <w:rPr>
          <w:rFonts w:hint="eastAsia" w:ascii="宋体" w:hAnsi="宋体" w:eastAsia="宋体" w:cs="宋体"/>
          <w:strike w:val="0"/>
          <w:dstrike w:val="0"/>
          <w:color w:val="auto"/>
          <w:sz w:val="28"/>
          <w:szCs w:val="28"/>
          <w:highlight w:val="none"/>
        </w:rPr>
        <w:t>项目</w:t>
      </w:r>
      <w:r>
        <w:rPr>
          <w:rFonts w:hint="eastAsia" w:ascii="宋体" w:hAnsi="宋体" w:eastAsia="宋体" w:cs="宋体"/>
          <w:strike w:val="0"/>
          <w:dstrike w:val="0"/>
          <w:color w:val="auto"/>
          <w:sz w:val="28"/>
          <w:szCs w:val="28"/>
          <w:highlight w:val="none"/>
          <w:u w:val="single"/>
        </w:rPr>
        <w:t>经理不得同时兼任其他任</w:t>
      </w:r>
      <w:r>
        <w:rPr>
          <w:rFonts w:hint="eastAsia" w:ascii="宋体" w:hAnsi="宋体" w:eastAsia="宋体" w:cs="宋体"/>
          <w:color w:val="auto"/>
          <w:sz w:val="28"/>
          <w:szCs w:val="28"/>
          <w:highlight w:val="none"/>
          <w:u w:val="single"/>
        </w:rPr>
        <w:t>何项目的项目经理（符合桂建管﹝2013﹞17 号和桂建管﹝2014﹞25 号文除外）。未经业主和监理工程师审查批准，施工期间承包人不准擅自更换项目经理</w:t>
      </w:r>
    </w:p>
    <w:p w14:paraId="48DB7093">
      <w:pPr>
        <w:pStyle w:val="196"/>
        <w:pageBreakBefore w:val="0"/>
        <w:numPr>
          <w:ilvl w:val="2"/>
          <w:numId w:val="0"/>
        </w:numPr>
        <w:tabs>
          <w:tab w:val="left" w:pos="993"/>
        </w:tabs>
        <w:kinsoku/>
        <w:overflowPunct/>
        <w:topLinePunct w:val="0"/>
        <w:bidi w:val="0"/>
        <w:snapToGrid/>
        <w:spacing w:before="70" w:after="0" w:line="560" w:lineRule="exact"/>
        <w:ind w:left="992" w:leftChars="0" w:right="48" w:rightChars="23" w:hanging="661"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pacing w:val="-1"/>
          <w:w w:val="100"/>
          <w:kern w:val="2"/>
          <w:sz w:val="22"/>
          <w:szCs w:val="22"/>
          <w:lang w:val="en-US" w:eastAsia="zh-CN" w:bidi="zh-CN"/>
        </w:rPr>
        <w:t>3</w:t>
      </w:r>
      <w:r>
        <w:rPr>
          <w:rFonts w:hint="eastAsia" w:ascii="宋体" w:hAnsi="宋体" w:eastAsia="宋体" w:cs="宋体"/>
          <w:color w:val="auto"/>
          <w:spacing w:val="-1"/>
          <w:w w:val="100"/>
          <w:kern w:val="2"/>
          <w:sz w:val="22"/>
          <w:szCs w:val="22"/>
          <w:lang w:val="zh-CN" w:eastAsia="zh-CN" w:bidi="zh-CN"/>
        </w:rPr>
        <w:t>.2.4</w:t>
      </w:r>
      <w:r>
        <w:rPr>
          <w:rFonts w:hint="eastAsia" w:ascii="宋体" w:hAnsi="宋体" w:eastAsia="宋体" w:cs="宋体"/>
          <w:color w:val="auto"/>
          <w:spacing w:val="-4"/>
          <w:sz w:val="28"/>
          <w:szCs w:val="28"/>
          <w:highlight w:val="none"/>
        </w:rPr>
        <w:t>承包人无正当理由拒绝更换项目经理的违约责任：</w:t>
      </w:r>
      <w:r>
        <w:rPr>
          <w:rFonts w:hint="eastAsia" w:ascii="宋体" w:hAnsi="宋体" w:eastAsia="宋体" w:cs="宋体"/>
          <w:color w:val="auto"/>
          <w:spacing w:val="-5"/>
          <w:sz w:val="28"/>
          <w:szCs w:val="28"/>
          <w:highlight w:val="none"/>
          <w:u w:val="single"/>
        </w:rPr>
        <w:t>未经业主和监理工程师审查批准，施工期间</w:t>
      </w:r>
      <w:r>
        <w:rPr>
          <w:rFonts w:hint="eastAsia" w:ascii="宋体" w:hAnsi="宋体" w:eastAsia="宋体" w:cs="宋体"/>
          <w:color w:val="auto"/>
          <w:sz w:val="28"/>
          <w:szCs w:val="28"/>
          <w:highlight w:val="none"/>
          <w:u w:val="single"/>
        </w:rPr>
        <w:t>承包人无正当理由拒绝更换项目经理。</w:t>
      </w:r>
    </w:p>
    <w:p w14:paraId="77CAD2AC">
      <w:pPr>
        <w:pageBreakBefore w:val="0"/>
        <w:numPr>
          <w:ilvl w:val="0"/>
          <w:numId w:val="0"/>
        </w:numPr>
        <w:tabs>
          <w:tab w:val="left" w:pos="777"/>
        </w:tabs>
        <w:kinsoku/>
        <w:overflowPunct/>
        <w:topLinePunct w:val="0"/>
        <w:bidi w:val="0"/>
        <w:snapToGrid/>
        <w:spacing w:before="0" w:line="560" w:lineRule="exact"/>
        <w:ind w:left="331" w:leftChars="0" w:right="48" w:rightChars="23"/>
        <w:jc w:val="left"/>
        <w:rPr>
          <w:rFonts w:hint="eastAsia" w:ascii="宋体" w:hAnsi="宋体" w:eastAsia="宋体" w:cs="宋体"/>
          <w:b/>
          <w:color w:val="auto"/>
          <w:sz w:val="28"/>
          <w:szCs w:val="28"/>
          <w:highlight w:val="none"/>
        </w:rPr>
      </w:pPr>
      <w:bookmarkStart w:id="142" w:name="3.3 承包人人员"/>
      <w:bookmarkEnd w:id="142"/>
      <w:bookmarkStart w:id="143" w:name="3.3 承包人人员"/>
      <w:bookmarkEnd w:id="143"/>
      <w:r>
        <w:rPr>
          <w:rFonts w:hint="eastAsia" w:ascii="宋体" w:hAnsi="宋体" w:eastAsia="宋体" w:cs="宋体"/>
          <w:b/>
          <w:color w:val="auto"/>
          <w:sz w:val="28"/>
          <w:szCs w:val="28"/>
          <w:highlight w:val="none"/>
          <w:lang w:val="en-US" w:eastAsia="zh-CN"/>
        </w:rPr>
        <w:t>3.3</w:t>
      </w:r>
      <w:r>
        <w:rPr>
          <w:rFonts w:hint="eastAsia" w:ascii="宋体" w:hAnsi="宋体" w:eastAsia="宋体" w:cs="宋体"/>
          <w:b/>
          <w:color w:val="auto"/>
          <w:sz w:val="28"/>
          <w:szCs w:val="28"/>
          <w:highlight w:val="none"/>
        </w:rPr>
        <w:t>承包人人员</w:t>
      </w:r>
    </w:p>
    <w:p w14:paraId="4D252CBC">
      <w:pPr>
        <w:pStyle w:val="196"/>
        <w:pageBreakBefore w:val="0"/>
        <w:numPr>
          <w:ilvl w:val="0"/>
          <w:numId w:val="0"/>
        </w:numPr>
        <w:tabs>
          <w:tab w:val="left" w:pos="993"/>
        </w:tabs>
        <w:kinsoku/>
        <w:overflowPunct/>
        <w:topLinePunct w:val="0"/>
        <w:bidi w:val="0"/>
        <w:snapToGrid/>
        <w:spacing w:before="0" w:after="0" w:line="560" w:lineRule="exact"/>
        <w:ind w:left="331" w:leftChars="0" w:right="48" w:rightChars="23" w:firstLine="274" w:firstLineChars="100"/>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3.3.1</w:t>
      </w:r>
      <w:r>
        <w:rPr>
          <w:rFonts w:hint="eastAsia" w:ascii="宋体" w:hAnsi="宋体" w:eastAsia="宋体" w:cs="宋体"/>
          <w:color w:val="auto"/>
          <w:spacing w:val="-3"/>
          <w:sz w:val="28"/>
          <w:szCs w:val="28"/>
          <w:highlight w:val="none"/>
        </w:rPr>
        <w:t>承包人提交项目管理机构及施工现场管理人员安排报告</w:t>
      </w:r>
      <w:r>
        <w:rPr>
          <w:rFonts w:hint="eastAsia" w:ascii="宋体" w:hAnsi="宋体" w:eastAsia="宋体" w:cs="宋体"/>
          <w:color w:val="auto"/>
          <w:sz w:val="28"/>
          <w:szCs w:val="28"/>
          <w:highlight w:val="none"/>
        </w:rPr>
        <w:t>（</w:t>
      </w:r>
      <w:r>
        <w:rPr>
          <w:rFonts w:hint="eastAsia" w:ascii="宋体" w:hAnsi="宋体" w:eastAsia="宋体" w:cs="宋体"/>
          <w:color w:val="auto"/>
          <w:spacing w:val="-10"/>
          <w:sz w:val="28"/>
          <w:szCs w:val="28"/>
          <w:highlight w:val="none"/>
        </w:rPr>
        <w:t xml:space="preserve">格式见合同附件 </w:t>
      </w:r>
      <w:r>
        <w:rPr>
          <w:rFonts w:hint="eastAsia" w:ascii="宋体" w:hAnsi="宋体" w:eastAsia="宋体" w:cs="宋体"/>
          <w:color w:val="auto"/>
          <w:spacing w:val="-10"/>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eastAsia="宋体" w:cs="宋体"/>
          <w:color w:val="auto"/>
          <w:spacing w:val="-2"/>
          <w:sz w:val="28"/>
          <w:szCs w:val="28"/>
          <w:highlight w:val="none"/>
        </w:rPr>
        <w:t>的期限：</w:t>
      </w:r>
    </w:p>
    <w:p w14:paraId="57666FD0">
      <w:pPr>
        <w:pStyle w:val="196"/>
        <w:pageBreakBefore w:val="0"/>
        <w:numPr>
          <w:ilvl w:val="0"/>
          <w:numId w:val="0"/>
        </w:numPr>
        <w:tabs>
          <w:tab w:val="left" w:pos="993"/>
        </w:tabs>
        <w:kinsoku/>
        <w:overflowPunct/>
        <w:topLinePunct w:val="0"/>
        <w:bidi w:val="0"/>
        <w:snapToGrid/>
        <w:spacing w:before="0" w:after="0" w:line="560" w:lineRule="exact"/>
        <w:ind w:left="332" w:leftChars="0" w:right="48" w:rightChars="23" w:firstLine="270" w:firstLineChars="100"/>
        <w:jc w:val="both"/>
        <w:rPr>
          <w:rFonts w:hint="eastAsia" w:ascii="宋体" w:hAnsi="宋体" w:eastAsia="宋体" w:cs="宋体"/>
          <w:color w:val="auto"/>
          <w:sz w:val="28"/>
          <w:szCs w:val="28"/>
          <w:highlight w:val="none"/>
        </w:rPr>
      </w:pPr>
      <w:r>
        <w:rPr>
          <w:rFonts w:hint="eastAsia" w:ascii="宋体" w:hAnsi="宋体" w:eastAsia="宋体" w:cs="宋体"/>
          <w:color w:val="auto"/>
          <w:spacing w:val="-5"/>
          <w:sz w:val="28"/>
          <w:szCs w:val="28"/>
          <w:highlight w:val="none"/>
          <w:lang w:val="en-US" w:eastAsia="zh-CN"/>
        </w:rPr>
        <w:t>3.3.2</w:t>
      </w:r>
      <w:r>
        <w:rPr>
          <w:rFonts w:hint="eastAsia" w:ascii="宋体" w:hAnsi="宋体" w:eastAsia="宋体" w:cs="宋体"/>
          <w:color w:val="auto"/>
          <w:spacing w:val="-5"/>
          <w:sz w:val="28"/>
          <w:szCs w:val="28"/>
          <w:highlight w:val="none"/>
        </w:rPr>
        <w:t>承包人无正当理由拒绝撤换主要施工管理人员的违约责任：工期间承包人无正当理由拒绝更换</w:t>
      </w:r>
      <w:r>
        <w:rPr>
          <w:rFonts w:hint="eastAsia" w:ascii="宋体" w:hAnsi="宋体" w:eastAsia="宋体" w:cs="宋体"/>
          <w:color w:val="auto"/>
          <w:spacing w:val="-6"/>
          <w:sz w:val="28"/>
          <w:szCs w:val="28"/>
          <w:highlight w:val="none"/>
        </w:rPr>
        <w:t>主要施工管理人员，经发现不及时调回的，或虽然批准调换主要施工管理人员而不影响施工进度和质</w:t>
      </w:r>
      <w:r>
        <w:rPr>
          <w:rFonts w:hint="eastAsia" w:ascii="宋体" w:hAnsi="宋体" w:eastAsia="宋体" w:cs="宋体"/>
          <w:color w:val="auto"/>
          <w:spacing w:val="-3"/>
          <w:sz w:val="28"/>
          <w:szCs w:val="28"/>
          <w:highlight w:val="none"/>
        </w:rPr>
        <w:t>量的，承包人每次按本合同的通用条款“</w:t>
      </w:r>
      <w:r>
        <w:rPr>
          <w:rFonts w:hint="eastAsia" w:ascii="宋体" w:hAnsi="宋体" w:eastAsia="宋体" w:cs="宋体"/>
          <w:color w:val="auto"/>
          <w:sz w:val="28"/>
          <w:szCs w:val="28"/>
          <w:highlight w:val="none"/>
        </w:rPr>
        <w:t>16.2.1</w:t>
      </w:r>
      <w:r>
        <w:rPr>
          <w:rFonts w:hint="eastAsia" w:ascii="宋体" w:hAnsi="宋体" w:eastAsia="宋体" w:cs="宋体"/>
          <w:color w:val="auto"/>
          <w:spacing w:val="-3"/>
          <w:sz w:val="28"/>
          <w:szCs w:val="28"/>
          <w:highlight w:val="none"/>
        </w:rPr>
        <w:t>”的约定承担违约责任。</w:t>
      </w:r>
    </w:p>
    <w:p w14:paraId="7048248E">
      <w:pPr>
        <w:pStyle w:val="196"/>
        <w:pageBreakBefore w:val="0"/>
        <w:numPr>
          <w:ilvl w:val="0"/>
          <w:numId w:val="0"/>
        </w:numPr>
        <w:tabs>
          <w:tab w:val="left" w:pos="993"/>
        </w:tabs>
        <w:kinsoku/>
        <w:overflowPunct/>
        <w:topLinePunct w:val="0"/>
        <w:bidi w:val="0"/>
        <w:snapToGrid/>
        <w:spacing w:before="4" w:after="0" w:line="560" w:lineRule="exact"/>
        <w:ind w:right="48" w:rightChars="23" w:firstLine="548"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3.3.3</w:t>
      </w:r>
      <w:r>
        <w:rPr>
          <w:rFonts w:hint="eastAsia" w:ascii="宋体" w:hAnsi="宋体" w:eastAsia="宋体" w:cs="宋体"/>
          <w:color w:val="auto"/>
          <w:spacing w:val="-3"/>
          <w:sz w:val="28"/>
          <w:szCs w:val="28"/>
          <w:highlight w:val="none"/>
        </w:rPr>
        <w:t>承包人主要施工管理人员离开施工现场的批准要求：。</w:t>
      </w:r>
    </w:p>
    <w:p w14:paraId="1CE7DC0C">
      <w:pPr>
        <w:pStyle w:val="196"/>
        <w:pageBreakBefore w:val="0"/>
        <w:numPr>
          <w:ilvl w:val="0"/>
          <w:numId w:val="0"/>
        </w:numPr>
        <w:tabs>
          <w:tab w:val="left" w:pos="993"/>
        </w:tabs>
        <w:kinsoku/>
        <w:overflowPunct/>
        <w:topLinePunct w:val="0"/>
        <w:bidi w:val="0"/>
        <w:snapToGrid/>
        <w:spacing w:before="0" w:after="0" w:line="560" w:lineRule="exact"/>
        <w:ind w:right="48" w:rightChars="23" w:firstLine="54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pacing w:val="-5"/>
          <w:sz w:val="28"/>
          <w:szCs w:val="28"/>
          <w:highlight w:val="none"/>
          <w:lang w:val="en-US" w:eastAsia="zh-CN"/>
        </w:rPr>
        <w:t>3.3.4</w:t>
      </w:r>
      <w:r>
        <w:rPr>
          <w:rFonts w:hint="eastAsia" w:ascii="宋体" w:hAnsi="宋体" w:eastAsia="宋体" w:cs="宋体"/>
          <w:color w:val="auto"/>
          <w:spacing w:val="-5"/>
          <w:sz w:val="28"/>
          <w:szCs w:val="28"/>
          <w:highlight w:val="none"/>
        </w:rPr>
        <w:t>承包人擅自更换主要施工管理人员的违约责任：工期间承包人无正当理由拒绝更换主要施工管</w:t>
      </w:r>
      <w:r>
        <w:rPr>
          <w:rFonts w:hint="eastAsia" w:ascii="宋体" w:hAnsi="宋体" w:eastAsia="宋体" w:cs="宋体"/>
          <w:color w:val="auto"/>
          <w:spacing w:val="-7"/>
          <w:sz w:val="28"/>
          <w:szCs w:val="28"/>
          <w:highlight w:val="none"/>
        </w:rPr>
        <w:t>理人员，经发现不及时调回的，或虽然批准调换主要施工管理人员而不影响施工进度和质量的，承包</w:t>
      </w:r>
      <w:r>
        <w:rPr>
          <w:rFonts w:hint="eastAsia" w:ascii="宋体" w:hAnsi="宋体" w:eastAsia="宋体" w:cs="宋体"/>
          <w:color w:val="auto"/>
          <w:spacing w:val="-3"/>
          <w:sz w:val="28"/>
          <w:szCs w:val="28"/>
          <w:highlight w:val="none"/>
        </w:rPr>
        <w:t>人每次按本合同的通用条款“</w:t>
      </w:r>
      <w:r>
        <w:rPr>
          <w:rFonts w:hint="eastAsia" w:ascii="宋体" w:hAnsi="宋体" w:eastAsia="宋体" w:cs="宋体"/>
          <w:color w:val="auto"/>
          <w:sz w:val="28"/>
          <w:szCs w:val="28"/>
          <w:highlight w:val="none"/>
        </w:rPr>
        <w:t>16.2.1</w:t>
      </w:r>
      <w:r>
        <w:rPr>
          <w:rFonts w:hint="eastAsia" w:ascii="宋体" w:hAnsi="宋体" w:eastAsia="宋体" w:cs="宋体"/>
          <w:color w:val="auto"/>
          <w:spacing w:val="-3"/>
          <w:sz w:val="28"/>
          <w:szCs w:val="28"/>
          <w:highlight w:val="none"/>
        </w:rPr>
        <w:t>”的约定承担违约责任。</w:t>
      </w:r>
    </w:p>
    <w:p w14:paraId="598B0894">
      <w:pPr>
        <w:pStyle w:val="19"/>
        <w:pageBreakBefore w:val="0"/>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5"/>
          <w:sz w:val="28"/>
          <w:szCs w:val="28"/>
          <w:highlight w:val="none"/>
        </w:rPr>
        <w:t>承包人主要施工管理人员擅自离开施工现场的违约责任：承包人的主要施工管理人员离开施工现场每</w:t>
      </w:r>
      <w:r>
        <w:rPr>
          <w:rFonts w:hint="eastAsia" w:ascii="宋体" w:hAnsi="宋体" w:eastAsia="宋体" w:cs="宋体"/>
          <w:color w:val="auto"/>
          <w:spacing w:val="-10"/>
          <w:sz w:val="28"/>
          <w:szCs w:val="28"/>
          <w:highlight w:val="none"/>
        </w:rPr>
        <w:t xml:space="preserve">月累计不超过 </w:t>
      </w:r>
      <w:r>
        <w:rPr>
          <w:rFonts w:hint="eastAsia" w:ascii="宋体" w:hAnsi="宋体" w:eastAsia="宋体" w:cs="宋体"/>
          <w:color w:val="auto"/>
          <w:sz w:val="28"/>
          <w:szCs w:val="28"/>
          <w:highlight w:val="none"/>
        </w:rPr>
        <w:t>5</w:t>
      </w:r>
      <w:r>
        <w:rPr>
          <w:rFonts w:hint="eastAsia" w:ascii="宋体" w:hAnsi="宋体" w:eastAsia="宋体" w:cs="宋体"/>
          <w:color w:val="auto"/>
          <w:spacing w:val="-13"/>
          <w:sz w:val="28"/>
          <w:szCs w:val="28"/>
          <w:highlight w:val="none"/>
        </w:rPr>
        <w:t xml:space="preserve"> 天的，应报监理人同意并通报发包人；离开施工现场每月累计超过 </w:t>
      </w:r>
      <w:r>
        <w:rPr>
          <w:rFonts w:hint="eastAsia" w:ascii="宋体" w:hAnsi="宋体" w:eastAsia="宋体" w:cs="宋体"/>
          <w:color w:val="auto"/>
          <w:sz w:val="28"/>
          <w:szCs w:val="28"/>
          <w:highlight w:val="none"/>
        </w:rPr>
        <w:t>5</w:t>
      </w:r>
      <w:r>
        <w:rPr>
          <w:rFonts w:hint="eastAsia" w:ascii="宋体" w:hAnsi="宋体" w:eastAsia="宋体" w:cs="宋体"/>
          <w:color w:val="auto"/>
          <w:spacing w:val="-11"/>
          <w:sz w:val="28"/>
          <w:szCs w:val="28"/>
          <w:highlight w:val="none"/>
        </w:rPr>
        <w:t xml:space="preserve"> 天的，应通知监</w:t>
      </w:r>
      <w:r>
        <w:rPr>
          <w:rFonts w:hint="eastAsia" w:ascii="宋体" w:hAnsi="宋体" w:eastAsia="宋体" w:cs="宋体"/>
          <w:color w:val="auto"/>
          <w:spacing w:val="-9"/>
          <w:sz w:val="28"/>
          <w:szCs w:val="28"/>
          <w:highlight w:val="none"/>
        </w:rPr>
        <w:t>理人，并征得发包人书面同意。主要施工管理人员离开施工现场前应指定一名有经验的人员临时代行</w:t>
      </w:r>
      <w:r>
        <w:rPr>
          <w:rFonts w:hint="eastAsia" w:ascii="宋体" w:hAnsi="宋体" w:eastAsia="宋体" w:cs="宋体"/>
          <w:color w:val="auto"/>
          <w:spacing w:val="-3"/>
          <w:sz w:val="28"/>
          <w:szCs w:val="28"/>
          <w:highlight w:val="none"/>
        </w:rPr>
        <w:t>其职责，该人员应具备履行相应职责的资格和能力，且应征得监理人或发包人的同意。</w:t>
      </w:r>
    </w:p>
    <w:p w14:paraId="1D4FF1FD">
      <w:pPr>
        <w:pageBreakBefore w:val="0"/>
        <w:numPr>
          <w:ilvl w:val="1"/>
          <w:numId w:val="12"/>
        </w:numPr>
        <w:tabs>
          <w:tab w:val="left" w:pos="777"/>
        </w:tabs>
        <w:kinsoku/>
        <w:overflowPunct/>
        <w:topLinePunct w:val="0"/>
        <w:bidi w:val="0"/>
        <w:snapToGrid/>
        <w:spacing w:before="0" w:line="560" w:lineRule="exact"/>
        <w:ind w:left="776" w:right="48" w:rightChars="23" w:hanging="445"/>
        <w:jc w:val="both"/>
        <w:rPr>
          <w:rFonts w:hint="eastAsia" w:ascii="宋体" w:hAnsi="宋体" w:eastAsia="宋体" w:cs="宋体"/>
          <w:b/>
          <w:color w:val="auto"/>
          <w:sz w:val="28"/>
          <w:szCs w:val="28"/>
          <w:highlight w:val="none"/>
        </w:rPr>
      </w:pPr>
      <w:bookmarkStart w:id="144" w:name="3.5 分包"/>
      <w:bookmarkEnd w:id="144"/>
      <w:bookmarkStart w:id="145" w:name="3.5 分包"/>
      <w:bookmarkEnd w:id="145"/>
      <w:r>
        <w:rPr>
          <w:rFonts w:hint="eastAsia" w:ascii="宋体" w:hAnsi="宋体" w:eastAsia="宋体" w:cs="宋体"/>
          <w:b/>
          <w:color w:val="auto"/>
          <w:sz w:val="28"/>
          <w:szCs w:val="28"/>
          <w:highlight w:val="none"/>
        </w:rPr>
        <w:t>分包</w:t>
      </w:r>
    </w:p>
    <w:p w14:paraId="5F5CCFB4">
      <w:pPr>
        <w:pStyle w:val="196"/>
        <w:pageBreakBefore w:val="0"/>
        <w:numPr>
          <w:ilvl w:val="0"/>
          <w:numId w:val="0"/>
        </w:numPr>
        <w:tabs>
          <w:tab w:val="left" w:pos="993"/>
        </w:tabs>
        <w:kinsoku/>
        <w:overflowPunct/>
        <w:topLinePunct w:val="0"/>
        <w:bidi w:val="0"/>
        <w:snapToGrid/>
        <w:spacing w:before="0" w:after="0" w:line="560" w:lineRule="exact"/>
        <w:ind w:leftChars="200"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3.5.1</w:t>
      </w:r>
      <w:r>
        <w:rPr>
          <w:rFonts w:hint="eastAsia" w:ascii="宋体" w:hAnsi="宋体" w:eastAsia="宋体" w:cs="宋体"/>
          <w:color w:val="auto"/>
          <w:spacing w:val="-3"/>
          <w:sz w:val="28"/>
          <w:szCs w:val="28"/>
          <w:highlight w:val="none"/>
        </w:rPr>
        <w:t>分包的一般约定</w:t>
      </w:r>
    </w:p>
    <w:p w14:paraId="2FF07FEB">
      <w:pPr>
        <w:pStyle w:val="19"/>
        <w:pageBreakBefore w:val="0"/>
        <w:tabs>
          <w:tab w:val="left" w:pos="583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禁</w:t>
      </w:r>
      <w:r>
        <w:rPr>
          <w:rFonts w:hint="eastAsia" w:ascii="宋体" w:hAnsi="宋体" w:eastAsia="宋体" w:cs="宋体"/>
          <w:color w:val="auto"/>
          <w:spacing w:val="-3"/>
          <w:sz w:val="28"/>
          <w:szCs w:val="28"/>
          <w:highlight w:val="none"/>
        </w:rPr>
        <w:t>止</w:t>
      </w:r>
      <w:r>
        <w:rPr>
          <w:rFonts w:hint="eastAsia" w:ascii="宋体" w:hAnsi="宋体" w:eastAsia="宋体" w:cs="宋体"/>
          <w:color w:val="auto"/>
          <w:sz w:val="28"/>
          <w:szCs w:val="28"/>
          <w:highlight w:val="none"/>
        </w:rPr>
        <w:t>分包</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括：</w:t>
      </w:r>
      <w:r>
        <w:rPr>
          <w:rFonts w:hint="eastAsia" w:ascii="宋体" w:hAnsi="宋体" w:eastAsia="宋体" w:cs="宋体"/>
          <w:color w:val="auto"/>
          <w:sz w:val="28"/>
          <w:szCs w:val="28"/>
          <w:highlight w:val="none"/>
          <w:u w:val="single"/>
        </w:rPr>
        <w:t xml:space="preserve"> 本工程不实行分包</w:t>
      </w:r>
      <w:r>
        <w:rPr>
          <w:rFonts w:hint="eastAsia" w:ascii="宋体" w:hAnsi="宋体" w:eastAsia="宋体" w:cs="宋体"/>
          <w:color w:val="auto"/>
          <w:sz w:val="28"/>
          <w:szCs w:val="28"/>
          <w:highlight w:val="none"/>
        </w:rPr>
        <w:t>。</w:t>
      </w:r>
    </w:p>
    <w:p w14:paraId="588741C3">
      <w:pPr>
        <w:pStyle w:val="19"/>
        <w:pageBreakBefore w:val="0"/>
        <w:tabs>
          <w:tab w:val="left" w:pos="924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主</w:t>
      </w:r>
      <w:r>
        <w:rPr>
          <w:rFonts w:hint="eastAsia" w:ascii="宋体" w:hAnsi="宋体" w:eastAsia="宋体" w:cs="宋体"/>
          <w:color w:val="auto"/>
          <w:spacing w:val="-3"/>
          <w:sz w:val="28"/>
          <w:szCs w:val="28"/>
          <w:highlight w:val="none"/>
        </w:rPr>
        <w:t>体</w:t>
      </w:r>
      <w:r>
        <w:rPr>
          <w:rFonts w:hint="eastAsia" w:ascii="宋体" w:hAnsi="宋体" w:eastAsia="宋体" w:cs="宋体"/>
          <w:color w:val="auto"/>
          <w:sz w:val="28"/>
          <w:szCs w:val="28"/>
          <w:highlight w:val="none"/>
        </w:rPr>
        <w:t>结构</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关键</w:t>
      </w:r>
      <w:r>
        <w:rPr>
          <w:rFonts w:hint="eastAsia" w:ascii="宋体" w:hAnsi="宋体" w:eastAsia="宋体" w:cs="宋体"/>
          <w:color w:val="auto"/>
          <w:spacing w:val="-3"/>
          <w:sz w:val="28"/>
          <w:szCs w:val="28"/>
          <w:highlight w:val="none"/>
        </w:rPr>
        <w:t>性</w:t>
      </w:r>
      <w:r>
        <w:rPr>
          <w:rFonts w:hint="eastAsia" w:ascii="宋体" w:hAnsi="宋体" w:eastAsia="宋体" w:cs="宋体"/>
          <w:color w:val="auto"/>
          <w:sz w:val="28"/>
          <w:szCs w:val="28"/>
          <w:highlight w:val="none"/>
        </w:rPr>
        <w:t>工作</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范围：</w:t>
      </w:r>
    </w:p>
    <w:p w14:paraId="6A10EEDA">
      <w:pPr>
        <w:pStyle w:val="196"/>
        <w:pageBreakBefore w:val="0"/>
        <w:numPr>
          <w:ilvl w:val="0"/>
          <w:numId w:val="0"/>
        </w:numPr>
        <w:tabs>
          <w:tab w:val="left" w:pos="993"/>
        </w:tabs>
        <w:kinsoku/>
        <w:overflowPunct/>
        <w:topLinePunct w:val="0"/>
        <w:bidi w:val="0"/>
        <w:snapToGrid/>
        <w:spacing w:before="5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3.5.2</w:t>
      </w:r>
      <w:r>
        <w:rPr>
          <w:rFonts w:hint="eastAsia" w:ascii="宋体" w:hAnsi="宋体" w:eastAsia="宋体" w:cs="宋体"/>
          <w:color w:val="auto"/>
          <w:spacing w:val="-2"/>
          <w:sz w:val="28"/>
          <w:szCs w:val="28"/>
          <w:highlight w:val="none"/>
        </w:rPr>
        <w:t>分包的确定</w:t>
      </w:r>
    </w:p>
    <w:p w14:paraId="4531981D">
      <w:pPr>
        <w:pStyle w:val="19"/>
        <w:pageBreakBefore w:val="0"/>
        <w:tabs>
          <w:tab w:val="left" w:pos="6164"/>
        </w:tabs>
        <w:kinsoku/>
        <w:overflowPunct/>
        <w:topLinePunct w:val="0"/>
        <w:bidi w:val="0"/>
        <w:snapToGrid/>
        <w:spacing w:line="560" w:lineRule="exact"/>
        <w:ind w:left="332" w:right="48" w:rightChars="23"/>
        <w:rPr>
          <w:rFonts w:hint="eastAsia" w:ascii="宋体" w:hAnsi="宋体" w:eastAsia="宋体" w:cs="宋体"/>
          <w:color w:val="auto"/>
          <w:spacing w:val="-17"/>
          <w:sz w:val="28"/>
          <w:szCs w:val="28"/>
          <w:highlight w:val="none"/>
        </w:rPr>
      </w:pPr>
      <w:r>
        <w:rPr>
          <w:rFonts w:hint="eastAsia" w:ascii="宋体" w:hAnsi="宋体" w:eastAsia="宋体" w:cs="宋体"/>
          <w:color w:val="auto"/>
          <w:sz w:val="28"/>
          <w:szCs w:val="28"/>
          <w:highlight w:val="none"/>
        </w:rPr>
        <w:t>允</w:t>
      </w:r>
      <w:r>
        <w:rPr>
          <w:rFonts w:hint="eastAsia" w:ascii="宋体" w:hAnsi="宋体" w:eastAsia="宋体" w:cs="宋体"/>
          <w:color w:val="auto"/>
          <w:spacing w:val="-3"/>
          <w:sz w:val="28"/>
          <w:szCs w:val="28"/>
          <w:highlight w:val="none"/>
        </w:rPr>
        <w:t>许</w:t>
      </w:r>
      <w:r>
        <w:rPr>
          <w:rFonts w:hint="eastAsia" w:ascii="宋体" w:hAnsi="宋体" w:eastAsia="宋体" w:cs="宋体"/>
          <w:color w:val="auto"/>
          <w:sz w:val="28"/>
          <w:szCs w:val="28"/>
          <w:highlight w:val="none"/>
        </w:rPr>
        <w:t>分包</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专业</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程包</w:t>
      </w:r>
      <w:r>
        <w:rPr>
          <w:rFonts w:hint="eastAsia" w:ascii="宋体" w:hAnsi="宋体" w:eastAsia="宋体" w:cs="宋体"/>
          <w:color w:val="auto"/>
          <w:spacing w:val="-3"/>
          <w:sz w:val="28"/>
          <w:szCs w:val="28"/>
          <w:highlight w:val="none"/>
        </w:rPr>
        <w:t>括</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本工程不实行分包</w:t>
      </w:r>
      <w:r>
        <w:rPr>
          <w:rFonts w:hint="eastAsia" w:ascii="宋体" w:hAnsi="宋体" w:eastAsia="宋体" w:cs="宋体"/>
          <w:color w:val="auto"/>
          <w:spacing w:val="-17"/>
          <w:sz w:val="28"/>
          <w:szCs w:val="28"/>
          <w:highlight w:val="none"/>
        </w:rPr>
        <w:t>。</w:t>
      </w:r>
    </w:p>
    <w:p w14:paraId="51269FC4">
      <w:pPr>
        <w:pStyle w:val="19"/>
        <w:pageBreakBefore w:val="0"/>
        <w:tabs>
          <w:tab w:val="left" w:pos="616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关于</w:t>
      </w:r>
      <w:r>
        <w:rPr>
          <w:rFonts w:hint="eastAsia" w:ascii="宋体" w:hAnsi="宋体" w:eastAsia="宋体" w:cs="宋体"/>
          <w:color w:val="auto"/>
          <w:spacing w:val="-3"/>
          <w:sz w:val="28"/>
          <w:szCs w:val="28"/>
          <w:highlight w:val="none"/>
        </w:rPr>
        <w:t>分</w:t>
      </w:r>
      <w:r>
        <w:rPr>
          <w:rFonts w:hint="eastAsia" w:ascii="宋体" w:hAnsi="宋体" w:eastAsia="宋体" w:cs="宋体"/>
          <w:color w:val="auto"/>
          <w:sz w:val="28"/>
          <w:szCs w:val="28"/>
          <w:highlight w:val="none"/>
        </w:rPr>
        <w:t>包的</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p>
    <w:p w14:paraId="4836F778">
      <w:pPr>
        <w:pStyle w:val="196"/>
        <w:pageBreakBefore w:val="0"/>
        <w:numPr>
          <w:ilvl w:val="0"/>
          <w:numId w:val="0"/>
        </w:numPr>
        <w:tabs>
          <w:tab w:val="left" w:pos="886"/>
        </w:tabs>
        <w:kinsoku/>
        <w:overflowPunct/>
        <w:topLinePunct w:val="0"/>
        <w:bidi w:val="0"/>
        <w:snapToGrid/>
        <w:spacing w:before="2" w:after="0" w:line="560" w:lineRule="exact"/>
        <w:ind w:leftChars="200" w:right="48" w:rightChars="23" w:firstLine="548"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除前款约定的分包内容外，经过发包人和监理人同意，承包人可以将其他非主体、非关键性工</w:t>
      </w:r>
      <w:r>
        <w:rPr>
          <w:rFonts w:hint="eastAsia" w:ascii="宋体" w:hAnsi="宋体" w:eastAsia="宋体" w:cs="宋体"/>
          <w:color w:val="auto"/>
          <w:spacing w:val="-7"/>
          <w:sz w:val="28"/>
          <w:szCs w:val="28"/>
          <w:highlight w:val="none"/>
        </w:rPr>
        <w:t>作分包给第三人，但分包人应当经过发包人和监理人审批。发包人和监理人有权拒绝承包人的分包请</w:t>
      </w:r>
      <w:r>
        <w:rPr>
          <w:rFonts w:hint="eastAsia" w:ascii="宋体" w:hAnsi="宋体" w:eastAsia="宋体" w:cs="宋体"/>
          <w:color w:val="auto"/>
          <w:spacing w:val="-5"/>
          <w:sz w:val="28"/>
          <w:szCs w:val="28"/>
          <w:highlight w:val="none"/>
        </w:rPr>
        <w:t>求和承包人选择的分包人。</w:t>
      </w:r>
    </w:p>
    <w:p w14:paraId="791C7714">
      <w:pPr>
        <w:pStyle w:val="196"/>
        <w:pageBreakBefore w:val="0"/>
        <w:numPr>
          <w:ilvl w:val="0"/>
          <w:numId w:val="0"/>
        </w:numPr>
        <w:tabs>
          <w:tab w:val="left" w:pos="886"/>
        </w:tabs>
        <w:kinsoku/>
        <w:overflowPunct/>
        <w:topLinePunct w:val="0"/>
        <w:bidi w:val="0"/>
        <w:snapToGrid/>
        <w:spacing w:before="4" w:after="0" w:line="560" w:lineRule="exact"/>
        <w:ind w:leftChars="200" w:right="48" w:rightChars="23" w:firstLine="54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pacing w:val="-5"/>
          <w:sz w:val="28"/>
          <w:szCs w:val="28"/>
          <w:highlight w:val="none"/>
          <w:lang w:val="en-US" w:eastAsia="zh-CN"/>
        </w:rPr>
        <w:t>(2)</w:t>
      </w:r>
      <w:r>
        <w:rPr>
          <w:rFonts w:hint="eastAsia" w:ascii="宋体" w:hAnsi="宋体" w:eastAsia="宋体" w:cs="宋体"/>
          <w:color w:val="auto"/>
          <w:spacing w:val="-5"/>
          <w:sz w:val="28"/>
          <w:szCs w:val="28"/>
          <w:highlight w:val="none"/>
        </w:rPr>
        <w:t xml:space="preserve">在相关分包合同签订并报送有关建设行政主管部门备案后 </w:t>
      </w:r>
      <w:r>
        <w:rPr>
          <w:rFonts w:hint="eastAsia" w:ascii="宋体" w:hAnsi="宋体" w:eastAsia="宋体" w:cs="宋体"/>
          <w:color w:val="auto"/>
          <w:sz w:val="28"/>
          <w:szCs w:val="28"/>
          <w:highlight w:val="none"/>
        </w:rPr>
        <w:t>7</w:t>
      </w:r>
      <w:r>
        <w:rPr>
          <w:rFonts w:hint="eastAsia" w:ascii="宋体" w:hAnsi="宋体" w:eastAsia="宋体" w:cs="宋体"/>
          <w:color w:val="auto"/>
          <w:spacing w:val="-9"/>
          <w:sz w:val="28"/>
          <w:szCs w:val="28"/>
          <w:highlight w:val="none"/>
        </w:rPr>
        <w:t xml:space="preserve"> 天内，承包人应当将一份副本提交</w:t>
      </w:r>
      <w:r>
        <w:rPr>
          <w:rFonts w:hint="eastAsia" w:ascii="宋体" w:hAnsi="宋体" w:eastAsia="宋体" w:cs="宋体"/>
          <w:color w:val="auto"/>
          <w:spacing w:val="-3"/>
          <w:sz w:val="28"/>
          <w:szCs w:val="28"/>
          <w:highlight w:val="none"/>
        </w:rPr>
        <w:t>给监理人，承包人应保障分包工作不得再次分包。</w:t>
      </w:r>
    </w:p>
    <w:p w14:paraId="6317374D">
      <w:pPr>
        <w:pStyle w:val="196"/>
        <w:pageBreakBefore w:val="0"/>
        <w:numPr>
          <w:ilvl w:val="0"/>
          <w:numId w:val="0"/>
        </w:numPr>
        <w:tabs>
          <w:tab w:val="left" w:pos="886"/>
        </w:tabs>
        <w:kinsoku/>
        <w:overflowPunct/>
        <w:topLinePunct w:val="0"/>
        <w:bidi w:val="0"/>
        <w:snapToGrid/>
        <w:spacing w:before="0" w:after="0" w:line="560" w:lineRule="exact"/>
        <w:ind w:leftChars="200" w:right="48" w:rightChars="23" w:firstLine="548"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未经承包人和监理人审批同意的分包工程和分包人，承包人有权拒绝验收分包工程和支付相应款项，由此引起的发包人费用增加和(或)延误的工期由发包人承担。</w:t>
      </w:r>
    </w:p>
    <w:p w14:paraId="5F46026A">
      <w:pPr>
        <w:pStyle w:val="196"/>
        <w:pageBreakBefore w:val="0"/>
        <w:numPr>
          <w:ilvl w:val="0"/>
          <w:numId w:val="0"/>
        </w:numPr>
        <w:tabs>
          <w:tab w:val="left" w:pos="886"/>
        </w:tabs>
        <w:kinsoku/>
        <w:overflowPunct/>
        <w:topLinePunct w:val="0"/>
        <w:bidi w:val="0"/>
        <w:snapToGrid/>
        <w:spacing w:before="0" w:after="0" w:line="560" w:lineRule="exact"/>
        <w:ind w:leftChars="200" w:right="48" w:rightChars="23" w:firstLine="548"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(4)</w:t>
      </w:r>
      <w:r>
        <w:rPr>
          <w:rFonts w:hint="eastAsia" w:ascii="宋体" w:hAnsi="宋体" w:eastAsia="宋体" w:cs="宋体"/>
          <w:color w:val="auto"/>
          <w:spacing w:val="-3"/>
          <w:sz w:val="28"/>
          <w:szCs w:val="28"/>
          <w:highlight w:val="none"/>
        </w:rPr>
        <w:t>承包人有以下情况之一者，发包人有权解除合同：</w:t>
      </w:r>
    </w:p>
    <w:p w14:paraId="577125D5">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6"/>
          <w:sz w:val="28"/>
          <w:szCs w:val="28"/>
          <w:highlight w:val="none"/>
        </w:rPr>
        <w:t>①个人承包工程，包括本人单位及外单位人员承包，发包人不承认其个人拥有任何资质等级及营业许</w:t>
      </w:r>
      <w:r>
        <w:rPr>
          <w:rFonts w:hint="eastAsia" w:ascii="宋体" w:hAnsi="宋体" w:eastAsia="宋体" w:cs="宋体"/>
          <w:color w:val="auto"/>
          <w:spacing w:val="-3"/>
          <w:sz w:val="28"/>
          <w:szCs w:val="28"/>
          <w:highlight w:val="none"/>
        </w:rPr>
        <w:t>可资格。</w:t>
      </w:r>
    </w:p>
    <w:p w14:paraId="37968222">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7"/>
          <w:sz w:val="28"/>
          <w:szCs w:val="28"/>
          <w:highlight w:val="none"/>
        </w:rPr>
        <w:t>②几个人联合承包工程，就地组织暗分包队伍，不具备完成本工程的技术、机械能力，被发包人判定</w:t>
      </w:r>
      <w:r>
        <w:rPr>
          <w:rFonts w:hint="eastAsia" w:ascii="宋体" w:hAnsi="宋体" w:eastAsia="宋体" w:cs="宋体"/>
          <w:color w:val="auto"/>
          <w:spacing w:val="-3"/>
          <w:sz w:val="28"/>
          <w:szCs w:val="28"/>
          <w:highlight w:val="none"/>
        </w:rPr>
        <w:t>为没有能力履行的承包人。</w:t>
      </w:r>
    </w:p>
    <w:p w14:paraId="2DB5497F">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③就地转包全部的工程，以谋取高额转让费、管理费的承包人。</w:t>
      </w:r>
    </w:p>
    <w:p w14:paraId="66CEA789">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④承包人有部分分包现象（其中包括冒充承包人下属单位的挂勾单位，凭口头协议参与施工的分包人及其他暗分包个体户），一经发现核实，发包人将采取驱逐该暗分包人措施。</w:t>
      </w:r>
    </w:p>
    <w:p w14:paraId="6B67ED62">
      <w:pPr>
        <w:pStyle w:val="19"/>
        <w:pageBreakBefore w:val="0"/>
        <w:kinsoku/>
        <w:overflowPunct/>
        <w:topLinePunct w:val="0"/>
        <w:bidi w:val="0"/>
        <w:snapToGrid/>
        <w:spacing w:before="2"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3.5.4 分包合同价款</w:t>
      </w:r>
    </w:p>
    <w:p w14:paraId="0ACE6FE3">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关于分包合同价款支付的约定：</w:t>
      </w:r>
      <w:r>
        <w:rPr>
          <w:rFonts w:hint="eastAsia" w:ascii="宋体" w:hAnsi="宋体" w:eastAsia="宋体" w:cs="宋体"/>
          <w:color w:val="auto"/>
          <w:spacing w:val="-4"/>
          <w:sz w:val="28"/>
          <w:szCs w:val="28"/>
          <w:highlight w:val="none"/>
          <w:u w:val="single"/>
        </w:rPr>
        <w:t>分包工程价款由承包人与分包人</w:t>
      </w:r>
      <w:r>
        <w:rPr>
          <w:rFonts w:hint="eastAsia" w:ascii="宋体" w:hAnsi="宋体" w:eastAsia="宋体" w:cs="宋体"/>
          <w:color w:val="auto"/>
          <w:spacing w:val="-1"/>
          <w:sz w:val="28"/>
          <w:szCs w:val="28"/>
          <w:highlight w:val="none"/>
          <w:u w:val="single"/>
        </w:rPr>
        <w:t>（</w:t>
      </w:r>
      <w:r>
        <w:rPr>
          <w:rFonts w:hint="eastAsia" w:ascii="宋体" w:hAnsi="宋体" w:eastAsia="宋体" w:cs="宋体"/>
          <w:color w:val="auto"/>
          <w:spacing w:val="-3"/>
          <w:sz w:val="28"/>
          <w:szCs w:val="28"/>
          <w:highlight w:val="none"/>
          <w:u w:val="single"/>
        </w:rPr>
        <w:t>包括专业分包人</w:t>
      </w:r>
      <w:r>
        <w:rPr>
          <w:rFonts w:hint="eastAsia" w:ascii="宋体" w:hAnsi="宋体" w:eastAsia="宋体" w:cs="宋体"/>
          <w:color w:val="auto"/>
          <w:spacing w:val="-13"/>
          <w:sz w:val="28"/>
          <w:szCs w:val="28"/>
          <w:highlight w:val="none"/>
          <w:u w:val="single"/>
        </w:rPr>
        <w:t>）</w:t>
      </w:r>
      <w:r>
        <w:rPr>
          <w:rFonts w:hint="eastAsia" w:ascii="宋体" w:hAnsi="宋体" w:eastAsia="宋体" w:cs="宋体"/>
          <w:color w:val="auto"/>
          <w:spacing w:val="-4"/>
          <w:sz w:val="28"/>
          <w:szCs w:val="28"/>
          <w:highlight w:val="none"/>
          <w:u w:val="single"/>
        </w:rPr>
        <w:t>结算。发包人未</w:t>
      </w:r>
      <w:r>
        <w:rPr>
          <w:rFonts w:hint="eastAsia" w:ascii="宋体" w:hAnsi="宋体" w:eastAsia="宋体" w:cs="宋体"/>
          <w:color w:val="auto"/>
          <w:spacing w:val="-3"/>
          <w:sz w:val="28"/>
          <w:szCs w:val="28"/>
          <w:highlight w:val="none"/>
          <w:u w:val="single"/>
        </w:rPr>
        <w:t>经承包人同意不得以任何形式向分包人</w:t>
      </w:r>
      <w:r>
        <w:rPr>
          <w:rFonts w:hint="eastAsia" w:ascii="宋体" w:hAnsi="宋体" w:eastAsia="宋体" w:cs="宋体"/>
          <w:color w:val="auto"/>
          <w:spacing w:val="-1"/>
          <w:sz w:val="28"/>
          <w:szCs w:val="28"/>
          <w:highlight w:val="none"/>
          <w:u w:val="single"/>
        </w:rPr>
        <w:t>（</w:t>
      </w:r>
      <w:r>
        <w:rPr>
          <w:rFonts w:hint="eastAsia" w:ascii="宋体" w:hAnsi="宋体" w:eastAsia="宋体" w:cs="宋体"/>
          <w:color w:val="auto"/>
          <w:spacing w:val="-3"/>
          <w:sz w:val="28"/>
          <w:szCs w:val="28"/>
          <w:highlight w:val="none"/>
          <w:u w:val="single"/>
        </w:rPr>
        <w:t>包括专业分包人）支付相关分包合同项下的任何工程款项。</w:t>
      </w:r>
    </w:p>
    <w:p w14:paraId="63AE4221">
      <w:pPr>
        <w:pStyle w:val="19"/>
        <w:pageBreakBefore w:val="0"/>
        <w:kinsoku/>
        <w:overflowPunct/>
        <w:topLinePunct w:val="0"/>
        <w:bidi w:val="0"/>
        <w:snapToGrid/>
        <w:spacing w:before="7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u w:val="single"/>
        </w:rPr>
        <w:t>因发包人未经承包人同意直接向分包人</w:t>
      </w:r>
      <w:r>
        <w:rPr>
          <w:rFonts w:hint="eastAsia" w:ascii="宋体" w:hAnsi="宋体" w:eastAsia="宋体" w:cs="宋体"/>
          <w:color w:val="auto"/>
          <w:spacing w:val="-1"/>
          <w:sz w:val="28"/>
          <w:szCs w:val="28"/>
          <w:highlight w:val="none"/>
          <w:u w:val="single"/>
        </w:rPr>
        <w:t>（</w:t>
      </w:r>
      <w:r>
        <w:rPr>
          <w:rFonts w:hint="eastAsia" w:ascii="宋体" w:hAnsi="宋体" w:eastAsia="宋体" w:cs="宋体"/>
          <w:color w:val="auto"/>
          <w:spacing w:val="-3"/>
          <w:sz w:val="28"/>
          <w:szCs w:val="28"/>
          <w:highlight w:val="none"/>
          <w:u w:val="single"/>
        </w:rPr>
        <w:t>包括专业分包人</w:t>
      </w:r>
      <w:r>
        <w:rPr>
          <w:rFonts w:hint="eastAsia" w:ascii="宋体" w:hAnsi="宋体" w:eastAsia="宋体" w:cs="宋体"/>
          <w:color w:val="auto"/>
          <w:spacing w:val="-20"/>
          <w:sz w:val="28"/>
          <w:szCs w:val="28"/>
          <w:highlight w:val="none"/>
          <w:u w:val="single"/>
        </w:rPr>
        <w:t>）</w:t>
      </w:r>
      <w:r>
        <w:rPr>
          <w:rFonts w:hint="eastAsia" w:ascii="宋体" w:hAnsi="宋体" w:eastAsia="宋体" w:cs="宋体"/>
          <w:color w:val="auto"/>
          <w:spacing w:val="-3"/>
          <w:sz w:val="28"/>
          <w:szCs w:val="28"/>
          <w:highlight w:val="none"/>
          <w:u w:val="single"/>
        </w:rPr>
        <w:t>支付相关分包合同项下的任何工程款项而</w:t>
      </w:r>
      <w:r>
        <w:rPr>
          <w:rFonts w:hint="eastAsia" w:ascii="宋体" w:hAnsi="宋体" w:eastAsia="宋体" w:cs="宋体"/>
          <w:color w:val="auto"/>
          <w:sz w:val="28"/>
          <w:szCs w:val="28"/>
          <w:highlight w:val="none"/>
          <w:u w:val="single"/>
        </w:rPr>
        <w:t>影响承包人工作的，所造成的承包人费用增加和（或）延误的工期由发包人承担。</w:t>
      </w:r>
    </w:p>
    <w:p w14:paraId="76999869">
      <w:pPr>
        <w:keepNext w:val="0"/>
        <w:keepLines w:val="0"/>
        <w:pageBreakBefore w:val="0"/>
        <w:widowControl w:val="0"/>
        <w:numPr>
          <w:ilvl w:val="1"/>
          <w:numId w:val="12"/>
        </w:numPr>
        <w:tabs>
          <w:tab w:val="left" w:pos="777"/>
        </w:tabs>
        <w:kinsoku/>
        <w:wordWrap/>
        <w:overflowPunct/>
        <w:topLinePunct w:val="0"/>
        <w:autoSpaceDE/>
        <w:autoSpaceDN/>
        <w:bidi w:val="0"/>
        <w:adjustRightInd/>
        <w:snapToGrid/>
        <w:spacing w:before="0" w:line="520" w:lineRule="exact"/>
        <w:ind w:left="776" w:right="48" w:rightChars="23" w:hanging="445"/>
        <w:jc w:val="left"/>
        <w:textAlignment w:val="auto"/>
        <w:rPr>
          <w:rFonts w:hint="eastAsia" w:ascii="宋体" w:hAnsi="宋体" w:eastAsia="宋体" w:cs="宋体"/>
          <w:b/>
          <w:color w:val="auto"/>
          <w:sz w:val="28"/>
          <w:szCs w:val="28"/>
          <w:highlight w:val="none"/>
        </w:rPr>
      </w:pPr>
      <w:bookmarkStart w:id="146" w:name="3.6 工程照管与成品、半成品保护"/>
      <w:bookmarkEnd w:id="146"/>
      <w:bookmarkStart w:id="147" w:name="3.6 工程照管与成品、半成品保护"/>
      <w:bookmarkEnd w:id="147"/>
      <w:r>
        <w:rPr>
          <w:rFonts w:hint="eastAsia" w:ascii="宋体" w:hAnsi="宋体" w:eastAsia="宋体" w:cs="宋体"/>
          <w:b/>
          <w:color w:val="auto"/>
          <w:sz w:val="28"/>
          <w:szCs w:val="28"/>
          <w:highlight w:val="none"/>
        </w:rPr>
        <w:t>工程照管与成品、半成品保护</w:t>
      </w:r>
    </w:p>
    <w:p w14:paraId="12E822FE">
      <w:pPr>
        <w:pStyle w:val="19"/>
        <w:keepNext w:val="0"/>
        <w:keepLines w:val="0"/>
        <w:pageBreakBefore w:val="0"/>
        <w:widowControl w:val="0"/>
        <w:tabs>
          <w:tab w:val="left" w:pos="7592"/>
        </w:tabs>
        <w:kinsoku/>
        <w:wordWrap/>
        <w:overflowPunct/>
        <w:topLinePunct w:val="0"/>
        <w:autoSpaceDE/>
        <w:autoSpaceDN/>
        <w:bidi w:val="0"/>
        <w:adjustRightInd/>
        <w:snapToGrid/>
        <w:spacing w:before="1"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人负</w:t>
      </w:r>
      <w:r>
        <w:rPr>
          <w:rFonts w:hint="eastAsia" w:ascii="宋体" w:hAnsi="宋体" w:eastAsia="宋体" w:cs="宋体"/>
          <w:color w:val="auto"/>
          <w:spacing w:val="-3"/>
          <w:sz w:val="28"/>
          <w:szCs w:val="28"/>
          <w:highlight w:val="none"/>
        </w:rPr>
        <w:t>责</w:t>
      </w:r>
      <w:r>
        <w:rPr>
          <w:rFonts w:hint="eastAsia" w:ascii="宋体" w:hAnsi="宋体" w:eastAsia="宋体" w:cs="宋体"/>
          <w:color w:val="auto"/>
          <w:sz w:val="28"/>
          <w:szCs w:val="28"/>
          <w:highlight w:val="none"/>
        </w:rPr>
        <w:t>照管</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程及</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程相</w:t>
      </w:r>
      <w:r>
        <w:rPr>
          <w:rFonts w:hint="eastAsia" w:ascii="宋体" w:hAnsi="宋体" w:eastAsia="宋体" w:cs="宋体"/>
          <w:color w:val="auto"/>
          <w:spacing w:val="-3"/>
          <w:sz w:val="28"/>
          <w:szCs w:val="28"/>
          <w:highlight w:val="none"/>
        </w:rPr>
        <w:t>关</w:t>
      </w:r>
      <w:r>
        <w:rPr>
          <w:rFonts w:hint="eastAsia" w:ascii="宋体" w:hAnsi="宋体" w:eastAsia="宋体" w:cs="宋体"/>
          <w:color w:val="auto"/>
          <w:sz w:val="28"/>
          <w:szCs w:val="28"/>
          <w:highlight w:val="none"/>
        </w:rPr>
        <w:t>的材</w:t>
      </w:r>
      <w:r>
        <w:rPr>
          <w:rFonts w:hint="eastAsia" w:ascii="宋体" w:hAnsi="宋体" w:eastAsia="宋体" w:cs="宋体"/>
          <w:color w:val="auto"/>
          <w:spacing w:val="-3"/>
          <w:sz w:val="28"/>
          <w:szCs w:val="28"/>
          <w:highlight w:val="none"/>
        </w:rPr>
        <w:t>料</w:t>
      </w: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设备</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起始</w:t>
      </w:r>
      <w:r>
        <w:rPr>
          <w:rFonts w:hint="eastAsia" w:ascii="宋体" w:hAnsi="宋体" w:eastAsia="宋体" w:cs="宋体"/>
          <w:color w:val="auto"/>
          <w:spacing w:val="-3"/>
          <w:sz w:val="28"/>
          <w:szCs w:val="28"/>
          <w:highlight w:val="none"/>
        </w:rPr>
        <w:t>时</w:t>
      </w:r>
      <w:r>
        <w:rPr>
          <w:rFonts w:hint="eastAsia" w:ascii="宋体" w:hAnsi="宋体" w:eastAsia="宋体" w:cs="宋体"/>
          <w:color w:val="auto"/>
          <w:sz w:val="28"/>
          <w:szCs w:val="28"/>
          <w:highlight w:val="none"/>
        </w:rPr>
        <w:t>间：</w:t>
      </w:r>
    </w:p>
    <w:p w14:paraId="60266694">
      <w:pPr>
        <w:keepNext w:val="0"/>
        <w:keepLines w:val="0"/>
        <w:pageBreakBefore w:val="0"/>
        <w:widowControl w:val="0"/>
        <w:numPr>
          <w:ilvl w:val="1"/>
          <w:numId w:val="12"/>
        </w:numPr>
        <w:tabs>
          <w:tab w:val="left" w:pos="777"/>
        </w:tabs>
        <w:kinsoku/>
        <w:wordWrap/>
        <w:overflowPunct/>
        <w:topLinePunct w:val="0"/>
        <w:autoSpaceDE/>
        <w:autoSpaceDN/>
        <w:bidi w:val="0"/>
        <w:adjustRightInd/>
        <w:snapToGrid/>
        <w:spacing w:before="50" w:line="520" w:lineRule="exact"/>
        <w:ind w:left="776" w:right="48" w:rightChars="23" w:hanging="445"/>
        <w:jc w:val="left"/>
        <w:textAlignment w:val="auto"/>
        <w:rPr>
          <w:rFonts w:hint="eastAsia" w:ascii="宋体" w:hAnsi="宋体" w:eastAsia="宋体" w:cs="宋体"/>
          <w:b/>
          <w:color w:val="auto"/>
          <w:sz w:val="28"/>
          <w:szCs w:val="28"/>
          <w:highlight w:val="none"/>
        </w:rPr>
      </w:pPr>
      <w:bookmarkStart w:id="148" w:name="3.7 履约保证金"/>
      <w:bookmarkEnd w:id="148"/>
      <w:bookmarkStart w:id="149" w:name="3.7 履约保证金"/>
      <w:bookmarkEnd w:id="149"/>
      <w:r>
        <w:rPr>
          <w:rFonts w:hint="eastAsia" w:ascii="宋体" w:hAnsi="宋体" w:eastAsia="宋体" w:cs="宋体"/>
          <w:b/>
          <w:color w:val="auto"/>
          <w:sz w:val="28"/>
          <w:szCs w:val="28"/>
          <w:highlight w:val="none"/>
        </w:rPr>
        <w:t>履约保证金</w:t>
      </w:r>
    </w:p>
    <w:p w14:paraId="31BAD347">
      <w:pPr>
        <w:pStyle w:val="19"/>
        <w:keepNext w:val="0"/>
        <w:keepLines w:val="0"/>
        <w:pageBreakBefore w:val="0"/>
        <w:widowControl w:val="0"/>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本项目无履约保证金。</w:t>
      </w:r>
    </w:p>
    <w:p w14:paraId="392080AF">
      <w:pPr>
        <w:keepNext w:val="0"/>
        <w:keepLines w:val="0"/>
        <w:pageBreakBefore w:val="0"/>
        <w:widowControl w:val="0"/>
        <w:numPr>
          <w:ilvl w:val="0"/>
          <w:numId w:val="0"/>
        </w:numPr>
        <w:tabs>
          <w:tab w:val="left" w:pos="667"/>
        </w:tabs>
        <w:kinsoku/>
        <w:wordWrap/>
        <w:overflowPunct/>
        <w:topLinePunct w:val="0"/>
        <w:autoSpaceDE/>
        <w:autoSpaceDN/>
        <w:bidi w:val="0"/>
        <w:adjustRightInd/>
        <w:snapToGrid/>
        <w:spacing w:before="0" w:line="520" w:lineRule="exact"/>
        <w:ind w:left="331" w:leftChars="0" w:right="48" w:rightChars="23"/>
        <w:jc w:val="left"/>
        <w:textAlignment w:val="auto"/>
        <w:rPr>
          <w:rFonts w:hint="eastAsia" w:ascii="宋体" w:hAnsi="宋体" w:eastAsia="宋体" w:cs="宋体"/>
          <w:b/>
          <w:color w:val="auto"/>
          <w:sz w:val="28"/>
          <w:szCs w:val="28"/>
          <w:highlight w:val="none"/>
        </w:rPr>
      </w:pPr>
      <w:bookmarkStart w:id="150" w:name="4. 监理人"/>
      <w:bookmarkEnd w:id="150"/>
      <w:bookmarkStart w:id="151" w:name="4. 监理人"/>
      <w:bookmarkEnd w:id="151"/>
      <w:r>
        <w:rPr>
          <w:rFonts w:hint="eastAsia" w:ascii="宋体" w:hAnsi="宋体" w:eastAsia="宋体" w:cs="宋体"/>
          <w:b/>
          <w:color w:val="auto"/>
          <w:sz w:val="28"/>
          <w:szCs w:val="28"/>
          <w:highlight w:val="none"/>
          <w:lang w:val="en-US" w:eastAsia="zh-CN"/>
        </w:rPr>
        <w:t xml:space="preserve">4 </w:t>
      </w:r>
      <w:r>
        <w:rPr>
          <w:rFonts w:hint="eastAsia" w:ascii="宋体" w:hAnsi="宋体" w:eastAsia="宋体" w:cs="宋体"/>
          <w:b/>
          <w:color w:val="auto"/>
          <w:sz w:val="28"/>
          <w:szCs w:val="28"/>
          <w:highlight w:val="none"/>
        </w:rPr>
        <w:t>监理人</w:t>
      </w:r>
    </w:p>
    <w:p w14:paraId="0B7A8939">
      <w:pPr>
        <w:keepNext w:val="0"/>
        <w:keepLines w:val="0"/>
        <w:pageBreakBefore w:val="0"/>
        <w:widowControl w:val="0"/>
        <w:numPr>
          <w:ilvl w:val="0"/>
          <w:numId w:val="0"/>
        </w:numPr>
        <w:tabs>
          <w:tab w:val="left" w:pos="777"/>
        </w:tabs>
        <w:kinsoku/>
        <w:wordWrap/>
        <w:overflowPunct/>
        <w:topLinePunct w:val="0"/>
        <w:autoSpaceDE/>
        <w:autoSpaceDN/>
        <w:bidi w:val="0"/>
        <w:adjustRightInd/>
        <w:snapToGrid/>
        <w:spacing w:before="1" w:line="520" w:lineRule="exact"/>
        <w:ind w:left="331" w:leftChars="0" w:right="48" w:rightChars="23"/>
        <w:jc w:val="left"/>
        <w:textAlignment w:val="auto"/>
        <w:rPr>
          <w:rFonts w:hint="eastAsia" w:ascii="宋体" w:hAnsi="宋体" w:eastAsia="宋体" w:cs="宋体"/>
          <w:b/>
          <w:color w:val="auto"/>
          <w:sz w:val="28"/>
          <w:szCs w:val="28"/>
          <w:highlight w:val="none"/>
        </w:rPr>
      </w:pPr>
      <w:bookmarkStart w:id="152" w:name="4.1 监理人的一般规定"/>
      <w:bookmarkEnd w:id="152"/>
      <w:bookmarkStart w:id="153" w:name="4.1 监理人的一般规定"/>
      <w:bookmarkEnd w:id="153"/>
      <w:r>
        <w:rPr>
          <w:rFonts w:hint="eastAsia" w:ascii="宋体" w:hAnsi="宋体" w:eastAsia="宋体" w:cs="宋体"/>
          <w:b/>
          <w:color w:val="auto"/>
          <w:sz w:val="28"/>
          <w:szCs w:val="28"/>
          <w:highlight w:val="none"/>
          <w:lang w:val="en-US" w:eastAsia="zh-CN"/>
        </w:rPr>
        <w:t>4.1</w:t>
      </w:r>
      <w:r>
        <w:rPr>
          <w:rFonts w:hint="eastAsia" w:ascii="宋体" w:hAnsi="宋体" w:eastAsia="宋体" w:cs="宋体"/>
          <w:b/>
          <w:color w:val="auto"/>
          <w:sz w:val="28"/>
          <w:szCs w:val="28"/>
          <w:highlight w:val="none"/>
        </w:rPr>
        <w:t>监理人的一般规定</w:t>
      </w:r>
    </w:p>
    <w:p w14:paraId="7379B4B0">
      <w:pPr>
        <w:pStyle w:val="19"/>
        <w:keepNext w:val="0"/>
        <w:keepLines w:val="0"/>
        <w:pageBreakBefore w:val="0"/>
        <w:widowControl w:val="0"/>
        <w:tabs>
          <w:tab w:val="left" w:pos="3632"/>
        </w:tabs>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监理</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的监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内容：</w:t>
      </w:r>
      <w:r>
        <w:rPr>
          <w:rFonts w:hint="eastAsia" w:ascii="宋体" w:hAnsi="宋体" w:eastAsia="宋体" w:cs="宋体"/>
          <w:color w:val="auto"/>
          <w:sz w:val="28"/>
          <w:szCs w:val="28"/>
          <w:highlight w:val="none"/>
          <w:u w:val="single"/>
          <w:lang w:val="en-US" w:eastAsia="zh-CN"/>
        </w:rPr>
        <w:t>按照发包人与监理方签订的合同，依照合同和有关法律、法规、负责和主持整个项目的监理工作，在合同规定范围内，对工程项目施工进行劝过称监理（包括工程质量、工期进度、安全文明施工管理、工程量与工程款的审核等）。</w:t>
      </w:r>
    </w:p>
    <w:p w14:paraId="0435A483">
      <w:pPr>
        <w:pStyle w:val="19"/>
        <w:keepNext w:val="0"/>
        <w:keepLines w:val="0"/>
        <w:pageBreakBefore w:val="0"/>
        <w:widowControl w:val="0"/>
        <w:tabs>
          <w:tab w:val="left" w:pos="3632"/>
        </w:tabs>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监理</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的监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权限：</w:t>
      </w:r>
      <w:r>
        <w:rPr>
          <w:rFonts w:hint="eastAsia" w:ascii="宋体" w:hAnsi="宋体" w:eastAsia="宋体" w:cs="宋体"/>
          <w:color w:val="auto"/>
          <w:sz w:val="28"/>
          <w:szCs w:val="28"/>
          <w:highlight w:val="none"/>
          <w:u w:val="single"/>
          <w:lang w:val="en-US" w:eastAsia="zh-CN"/>
        </w:rPr>
        <w:t>/</w:t>
      </w:r>
    </w:p>
    <w:p w14:paraId="04EEFA5C">
      <w:pPr>
        <w:pStyle w:val="19"/>
        <w:keepNext w:val="0"/>
        <w:keepLines w:val="0"/>
        <w:pageBreakBefore w:val="0"/>
        <w:widowControl w:val="0"/>
        <w:tabs>
          <w:tab w:val="left" w:pos="8804"/>
        </w:tabs>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监理</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在施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现场</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办公</w:t>
      </w:r>
      <w:r>
        <w:rPr>
          <w:rFonts w:hint="eastAsia" w:ascii="宋体" w:hAnsi="宋体" w:eastAsia="宋体" w:cs="宋体"/>
          <w:color w:val="auto"/>
          <w:spacing w:val="-3"/>
          <w:sz w:val="28"/>
          <w:szCs w:val="28"/>
          <w:highlight w:val="none"/>
        </w:rPr>
        <w:t>场</w:t>
      </w:r>
      <w:r>
        <w:rPr>
          <w:rFonts w:hint="eastAsia" w:ascii="宋体" w:hAnsi="宋体" w:eastAsia="宋体" w:cs="宋体"/>
          <w:color w:val="auto"/>
          <w:sz w:val="28"/>
          <w:szCs w:val="28"/>
          <w:highlight w:val="none"/>
        </w:rPr>
        <w:t>所、</w:t>
      </w:r>
      <w:r>
        <w:rPr>
          <w:rFonts w:hint="eastAsia" w:ascii="宋体" w:hAnsi="宋体" w:eastAsia="宋体" w:cs="宋体"/>
          <w:color w:val="auto"/>
          <w:spacing w:val="-3"/>
          <w:sz w:val="28"/>
          <w:szCs w:val="28"/>
          <w:highlight w:val="none"/>
        </w:rPr>
        <w:t>生</w:t>
      </w:r>
      <w:r>
        <w:rPr>
          <w:rFonts w:hint="eastAsia" w:ascii="宋体" w:hAnsi="宋体" w:eastAsia="宋体" w:cs="宋体"/>
          <w:color w:val="auto"/>
          <w:sz w:val="28"/>
          <w:szCs w:val="28"/>
          <w:highlight w:val="none"/>
        </w:rPr>
        <w:t>活场</w:t>
      </w:r>
      <w:r>
        <w:rPr>
          <w:rFonts w:hint="eastAsia" w:ascii="宋体" w:hAnsi="宋体" w:eastAsia="宋体" w:cs="宋体"/>
          <w:color w:val="auto"/>
          <w:spacing w:val="-3"/>
          <w:sz w:val="28"/>
          <w:szCs w:val="28"/>
          <w:highlight w:val="none"/>
        </w:rPr>
        <w:t>所</w:t>
      </w:r>
      <w:r>
        <w:rPr>
          <w:rFonts w:hint="eastAsia" w:ascii="宋体" w:hAnsi="宋体" w:eastAsia="宋体" w:cs="宋体"/>
          <w:color w:val="auto"/>
          <w:sz w:val="28"/>
          <w:szCs w:val="28"/>
          <w:highlight w:val="none"/>
        </w:rPr>
        <w:t>的提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和费</w:t>
      </w:r>
      <w:r>
        <w:rPr>
          <w:rFonts w:hint="eastAsia" w:ascii="宋体" w:hAnsi="宋体" w:eastAsia="宋体" w:cs="宋体"/>
          <w:color w:val="auto"/>
          <w:spacing w:val="-3"/>
          <w:sz w:val="28"/>
          <w:szCs w:val="28"/>
          <w:highlight w:val="none"/>
        </w:rPr>
        <w:t>用</w:t>
      </w:r>
      <w:r>
        <w:rPr>
          <w:rFonts w:hint="eastAsia" w:ascii="宋体" w:hAnsi="宋体" w:eastAsia="宋体" w:cs="宋体"/>
          <w:color w:val="auto"/>
          <w:sz w:val="28"/>
          <w:szCs w:val="28"/>
          <w:highlight w:val="none"/>
        </w:rPr>
        <w:t>承担</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约定：</w:t>
      </w:r>
      <w:r>
        <w:rPr>
          <w:rFonts w:hint="eastAsia" w:ascii="宋体" w:hAnsi="宋体" w:eastAsia="宋体" w:cs="宋体"/>
          <w:color w:val="auto"/>
          <w:sz w:val="28"/>
          <w:szCs w:val="28"/>
          <w:highlight w:val="none"/>
          <w:u w:val="single"/>
          <w:lang w:val="en-US" w:eastAsia="zh-CN"/>
        </w:rPr>
        <w:t>/</w:t>
      </w:r>
    </w:p>
    <w:p w14:paraId="1B5755D7">
      <w:pPr>
        <w:pStyle w:val="196"/>
        <w:keepNext w:val="0"/>
        <w:keepLines w:val="0"/>
        <w:pageBreakBefore w:val="0"/>
        <w:widowControl w:val="0"/>
        <w:numPr>
          <w:ilvl w:val="0"/>
          <w:numId w:val="0"/>
        </w:numPr>
        <w:tabs>
          <w:tab w:val="left" w:pos="777"/>
        </w:tabs>
        <w:kinsoku/>
        <w:wordWrap/>
        <w:overflowPunct/>
        <w:topLinePunct w:val="0"/>
        <w:autoSpaceDE/>
        <w:autoSpaceDN/>
        <w:bidi w:val="0"/>
        <w:adjustRightInd/>
        <w:snapToGrid/>
        <w:spacing w:before="0" w:after="0" w:line="520" w:lineRule="exact"/>
        <w:ind w:left="332" w:leftChars="0" w:right="48" w:rightChars="23"/>
        <w:jc w:val="both"/>
        <w:textAlignment w:val="auto"/>
        <w:rPr>
          <w:rFonts w:hint="eastAsia" w:ascii="宋体" w:hAnsi="宋体" w:eastAsia="宋体" w:cs="宋体"/>
          <w:color w:val="auto"/>
          <w:sz w:val="28"/>
          <w:szCs w:val="28"/>
          <w:highlight w:val="none"/>
        </w:rPr>
      </w:pPr>
      <w:bookmarkStart w:id="154" w:name="4.2 监理人员"/>
      <w:bookmarkEnd w:id="154"/>
      <w:bookmarkStart w:id="155" w:name="4.2 监理人员"/>
      <w:bookmarkEnd w:id="155"/>
      <w:r>
        <w:rPr>
          <w:rFonts w:hint="eastAsia" w:ascii="宋体" w:hAnsi="宋体" w:eastAsia="宋体" w:cs="宋体"/>
          <w:b/>
          <w:color w:val="auto"/>
          <w:sz w:val="28"/>
          <w:szCs w:val="28"/>
          <w:highlight w:val="none"/>
          <w:lang w:val="en-US" w:eastAsia="zh-CN"/>
        </w:rPr>
        <w:t>4.2</w:t>
      </w:r>
      <w:r>
        <w:rPr>
          <w:rFonts w:hint="eastAsia" w:ascii="宋体" w:hAnsi="宋体" w:eastAsia="宋体" w:cs="宋体"/>
          <w:b/>
          <w:color w:val="auto"/>
          <w:sz w:val="28"/>
          <w:szCs w:val="28"/>
          <w:highlight w:val="none"/>
        </w:rPr>
        <w:t xml:space="preserve">监理人员 </w:t>
      </w:r>
      <w:r>
        <w:rPr>
          <w:rFonts w:hint="eastAsia" w:ascii="宋体" w:hAnsi="宋体" w:eastAsia="宋体" w:cs="宋体"/>
          <w:color w:val="auto"/>
          <w:spacing w:val="-5"/>
          <w:sz w:val="28"/>
          <w:szCs w:val="28"/>
          <w:highlight w:val="none"/>
        </w:rPr>
        <w:t>总监理工程师：</w:t>
      </w:r>
    </w:p>
    <w:p w14:paraId="50788731">
      <w:pPr>
        <w:pStyle w:val="19"/>
        <w:keepNext w:val="0"/>
        <w:keepLines w:val="0"/>
        <w:pageBreakBefore w:val="0"/>
        <w:widowControl w:val="0"/>
        <w:tabs>
          <w:tab w:val="left" w:pos="4844"/>
        </w:tabs>
        <w:kinsoku/>
        <w:wordWrap/>
        <w:overflowPunct/>
        <w:topLinePunct w:val="0"/>
        <w:autoSpaceDE/>
        <w:autoSpaceDN/>
        <w:bidi w:val="0"/>
        <w:adjustRightInd/>
        <w:snapToGrid/>
        <w:spacing w:line="520" w:lineRule="exact"/>
        <w:ind w:left="332"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姓  </w:t>
      </w:r>
      <w:r>
        <w:rPr>
          <w:rFonts w:hint="eastAsia" w:ascii="宋体" w:hAnsi="宋体" w:eastAsia="宋体" w:cs="宋体"/>
          <w:color w:val="auto"/>
          <w:spacing w:val="109"/>
          <w:sz w:val="28"/>
          <w:szCs w:val="28"/>
          <w:highlight w:val="none"/>
        </w:rPr>
        <w:t xml:space="preserve"> </w:t>
      </w:r>
      <w:r>
        <w:rPr>
          <w:rFonts w:hint="eastAsia" w:ascii="宋体" w:hAnsi="宋体" w:eastAsia="宋体" w:cs="宋体"/>
          <w:color w:val="auto"/>
          <w:sz w:val="28"/>
          <w:szCs w:val="28"/>
          <w:highlight w:val="none"/>
        </w:rPr>
        <w:t>名：</w:t>
      </w:r>
    </w:p>
    <w:p w14:paraId="1FD5809E">
      <w:pPr>
        <w:pStyle w:val="19"/>
        <w:keepNext w:val="0"/>
        <w:keepLines w:val="0"/>
        <w:pageBreakBefore w:val="0"/>
        <w:widowControl w:val="0"/>
        <w:tabs>
          <w:tab w:val="left" w:pos="4844"/>
        </w:tabs>
        <w:kinsoku/>
        <w:wordWrap/>
        <w:overflowPunct/>
        <w:topLinePunct w:val="0"/>
        <w:autoSpaceDE/>
        <w:autoSpaceDN/>
        <w:bidi w:val="0"/>
        <w:adjustRightInd/>
        <w:snapToGrid/>
        <w:spacing w:line="520" w:lineRule="exact"/>
        <w:ind w:left="332"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职  </w:t>
      </w:r>
      <w:r>
        <w:rPr>
          <w:rFonts w:hint="eastAsia" w:ascii="宋体" w:hAnsi="宋体" w:eastAsia="宋体" w:cs="宋体"/>
          <w:color w:val="auto"/>
          <w:spacing w:val="109"/>
          <w:sz w:val="28"/>
          <w:szCs w:val="28"/>
          <w:highlight w:val="none"/>
        </w:rPr>
        <w:t xml:space="preserve"> </w:t>
      </w:r>
      <w:r>
        <w:rPr>
          <w:rFonts w:hint="eastAsia" w:ascii="宋体" w:hAnsi="宋体" w:eastAsia="宋体" w:cs="宋体"/>
          <w:color w:val="auto"/>
          <w:sz w:val="28"/>
          <w:szCs w:val="28"/>
          <w:highlight w:val="none"/>
        </w:rPr>
        <w:t>务：</w:t>
      </w:r>
    </w:p>
    <w:p w14:paraId="373768EF">
      <w:pPr>
        <w:pStyle w:val="19"/>
        <w:keepNext w:val="0"/>
        <w:keepLines w:val="0"/>
        <w:pageBreakBefore w:val="0"/>
        <w:widowControl w:val="0"/>
        <w:tabs>
          <w:tab w:val="left" w:pos="4844"/>
        </w:tabs>
        <w:kinsoku/>
        <w:wordWrap/>
        <w:overflowPunct/>
        <w:topLinePunct w:val="0"/>
        <w:autoSpaceDE/>
        <w:autoSpaceDN/>
        <w:bidi w:val="0"/>
        <w:adjustRightInd/>
        <w:snapToGrid/>
        <w:spacing w:line="520" w:lineRule="exact"/>
        <w:ind w:left="332"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师</w:t>
      </w:r>
      <w:r>
        <w:rPr>
          <w:rFonts w:hint="eastAsia" w:ascii="宋体" w:hAnsi="宋体" w:eastAsia="宋体" w:cs="宋体"/>
          <w:color w:val="auto"/>
          <w:sz w:val="28"/>
          <w:szCs w:val="28"/>
          <w:highlight w:val="none"/>
        </w:rPr>
        <w:t>执业</w:t>
      </w:r>
      <w:r>
        <w:rPr>
          <w:rFonts w:hint="eastAsia" w:ascii="宋体" w:hAnsi="宋体" w:eastAsia="宋体" w:cs="宋体"/>
          <w:color w:val="auto"/>
          <w:spacing w:val="-3"/>
          <w:sz w:val="28"/>
          <w:szCs w:val="28"/>
          <w:highlight w:val="none"/>
        </w:rPr>
        <w:t>资</w:t>
      </w:r>
      <w:r>
        <w:rPr>
          <w:rFonts w:hint="eastAsia" w:ascii="宋体" w:hAnsi="宋体" w:eastAsia="宋体" w:cs="宋体"/>
          <w:color w:val="auto"/>
          <w:sz w:val="28"/>
          <w:szCs w:val="28"/>
          <w:highlight w:val="none"/>
        </w:rPr>
        <w:t>格证</w:t>
      </w:r>
      <w:r>
        <w:rPr>
          <w:rFonts w:hint="eastAsia" w:ascii="宋体" w:hAnsi="宋体" w:eastAsia="宋体" w:cs="宋体"/>
          <w:color w:val="auto"/>
          <w:spacing w:val="-3"/>
          <w:sz w:val="28"/>
          <w:szCs w:val="28"/>
          <w:highlight w:val="none"/>
        </w:rPr>
        <w:t>书</w:t>
      </w:r>
      <w:r>
        <w:rPr>
          <w:rFonts w:hint="eastAsia" w:ascii="宋体" w:hAnsi="宋体" w:eastAsia="宋体" w:cs="宋体"/>
          <w:color w:val="auto"/>
          <w:sz w:val="28"/>
          <w:szCs w:val="28"/>
          <w:highlight w:val="none"/>
        </w:rPr>
        <w:t>号：</w:t>
      </w:r>
    </w:p>
    <w:p w14:paraId="1528CB68">
      <w:pPr>
        <w:pStyle w:val="19"/>
        <w:keepNext w:val="0"/>
        <w:keepLines w:val="0"/>
        <w:pageBreakBefore w:val="0"/>
        <w:widowControl w:val="0"/>
        <w:tabs>
          <w:tab w:val="left" w:pos="4844"/>
        </w:tabs>
        <w:kinsoku/>
        <w:wordWrap/>
        <w:overflowPunct/>
        <w:topLinePunct w:val="0"/>
        <w:autoSpaceDE/>
        <w:autoSpaceDN/>
        <w:bidi w:val="0"/>
        <w:adjustRightInd/>
        <w:snapToGrid/>
        <w:spacing w:line="520" w:lineRule="exact"/>
        <w:ind w:left="332"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w:t>
      </w:r>
      <w:r>
        <w:rPr>
          <w:rFonts w:hint="eastAsia" w:ascii="宋体" w:hAnsi="宋体" w:eastAsia="宋体" w:cs="宋体"/>
          <w:color w:val="auto"/>
          <w:spacing w:val="-3"/>
          <w:sz w:val="28"/>
          <w:szCs w:val="28"/>
          <w:highlight w:val="none"/>
        </w:rPr>
        <w:t>系</w:t>
      </w:r>
      <w:r>
        <w:rPr>
          <w:rFonts w:hint="eastAsia" w:ascii="宋体" w:hAnsi="宋体" w:eastAsia="宋体" w:cs="宋体"/>
          <w:color w:val="auto"/>
          <w:sz w:val="28"/>
          <w:szCs w:val="28"/>
          <w:highlight w:val="none"/>
        </w:rPr>
        <w:t>电话：</w:t>
      </w:r>
    </w:p>
    <w:p w14:paraId="35A96CDF">
      <w:pPr>
        <w:pStyle w:val="19"/>
        <w:keepNext w:val="0"/>
        <w:keepLines w:val="0"/>
        <w:pageBreakBefore w:val="0"/>
        <w:widowControl w:val="0"/>
        <w:tabs>
          <w:tab w:val="left" w:pos="4844"/>
        </w:tabs>
        <w:kinsoku/>
        <w:wordWrap/>
        <w:overflowPunct/>
        <w:topLinePunct w:val="0"/>
        <w:autoSpaceDE/>
        <w:autoSpaceDN/>
        <w:bidi w:val="0"/>
        <w:adjustRightInd/>
        <w:snapToGrid/>
        <w:spacing w:line="520" w:lineRule="exact"/>
        <w:ind w:left="332"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w:t>
      </w:r>
      <w:r>
        <w:rPr>
          <w:rFonts w:hint="eastAsia" w:ascii="宋体" w:hAnsi="宋体" w:eastAsia="宋体" w:cs="宋体"/>
          <w:color w:val="auto"/>
          <w:spacing w:val="-3"/>
          <w:sz w:val="28"/>
          <w:szCs w:val="28"/>
          <w:highlight w:val="none"/>
        </w:rPr>
        <w:t>子</w:t>
      </w:r>
      <w:r>
        <w:rPr>
          <w:rFonts w:hint="eastAsia" w:ascii="宋体" w:hAnsi="宋体" w:eastAsia="宋体" w:cs="宋体"/>
          <w:color w:val="auto"/>
          <w:sz w:val="28"/>
          <w:szCs w:val="28"/>
          <w:highlight w:val="none"/>
        </w:rPr>
        <w:t>信箱：</w:t>
      </w:r>
    </w:p>
    <w:p w14:paraId="6EC6C479">
      <w:pPr>
        <w:pStyle w:val="19"/>
        <w:keepNext w:val="0"/>
        <w:keepLines w:val="0"/>
        <w:pageBreakBefore w:val="0"/>
        <w:widowControl w:val="0"/>
        <w:tabs>
          <w:tab w:val="left" w:pos="4844"/>
        </w:tabs>
        <w:kinsoku/>
        <w:wordWrap/>
        <w:overflowPunct/>
        <w:topLinePunct w:val="0"/>
        <w:autoSpaceDE/>
        <w:autoSpaceDN/>
        <w:bidi w:val="0"/>
        <w:adjustRightInd/>
        <w:snapToGrid/>
        <w:spacing w:line="520" w:lineRule="exact"/>
        <w:ind w:left="332" w:right="48" w:rightChars="23"/>
        <w:jc w:val="both"/>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通</w:t>
      </w:r>
      <w:r>
        <w:rPr>
          <w:rFonts w:hint="eastAsia" w:ascii="宋体" w:hAnsi="宋体" w:eastAsia="宋体" w:cs="宋体"/>
          <w:color w:val="auto"/>
          <w:spacing w:val="-3"/>
          <w:sz w:val="28"/>
          <w:szCs w:val="28"/>
          <w:highlight w:val="none"/>
        </w:rPr>
        <w:t>信</w:t>
      </w:r>
      <w:r>
        <w:rPr>
          <w:rFonts w:hint="eastAsia" w:ascii="宋体" w:hAnsi="宋体" w:eastAsia="宋体" w:cs="宋体"/>
          <w:color w:val="auto"/>
          <w:sz w:val="28"/>
          <w:szCs w:val="28"/>
          <w:highlight w:val="none"/>
        </w:rPr>
        <w:t>地址：</w:t>
      </w:r>
    </w:p>
    <w:p w14:paraId="5DBA9337">
      <w:pPr>
        <w:pStyle w:val="19"/>
        <w:keepNext w:val="0"/>
        <w:keepLines w:val="0"/>
        <w:pageBreakBefore w:val="0"/>
        <w:widowControl w:val="0"/>
        <w:tabs>
          <w:tab w:val="left" w:pos="4844"/>
        </w:tabs>
        <w:kinsoku/>
        <w:wordWrap/>
        <w:overflowPunct/>
        <w:topLinePunct w:val="0"/>
        <w:autoSpaceDE/>
        <w:autoSpaceDN/>
        <w:bidi w:val="0"/>
        <w:adjustRightInd/>
        <w:snapToGrid/>
        <w:spacing w:line="520" w:lineRule="exact"/>
        <w:ind w:left="332"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监理</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的其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约定：</w:t>
      </w:r>
    </w:p>
    <w:p w14:paraId="4D93CD85">
      <w:pPr>
        <w:keepNext w:val="0"/>
        <w:keepLines w:val="0"/>
        <w:pageBreakBefore w:val="0"/>
        <w:widowControl w:val="0"/>
        <w:kinsoku/>
        <w:wordWrap/>
        <w:overflowPunct/>
        <w:topLinePunct w:val="0"/>
        <w:autoSpaceDE/>
        <w:autoSpaceDN/>
        <w:bidi w:val="0"/>
        <w:adjustRightInd/>
        <w:snapToGrid/>
        <w:spacing w:before="1" w:line="520" w:lineRule="exact"/>
        <w:ind w:left="332" w:right="48" w:rightChars="23" w:firstLine="0"/>
        <w:jc w:val="left"/>
        <w:textAlignment w:val="auto"/>
        <w:rPr>
          <w:rFonts w:hint="eastAsia" w:ascii="宋体" w:hAnsi="宋体" w:eastAsia="宋体" w:cs="宋体"/>
          <w:b/>
          <w:color w:val="auto"/>
          <w:sz w:val="28"/>
          <w:szCs w:val="28"/>
          <w:highlight w:val="none"/>
        </w:rPr>
      </w:pPr>
      <w:bookmarkStart w:id="156" w:name="4.4 商定或确定"/>
      <w:bookmarkEnd w:id="156"/>
      <w:r>
        <w:rPr>
          <w:rFonts w:hint="eastAsia" w:ascii="宋体" w:hAnsi="宋体" w:eastAsia="宋体" w:cs="宋体"/>
          <w:b/>
          <w:color w:val="auto"/>
          <w:sz w:val="28"/>
          <w:szCs w:val="28"/>
          <w:highlight w:val="none"/>
        </w:rPr>
        <w:t>4.4 商定或确定</w:t>
      </w:r>
    </w:p>
    <w:p w14:paraId="14BBE318">
      <w:pPr>
        <w:pStyle w:val="19"/>
        <w:keepNext w:val="0"/>
        <w:keepLines w:val="0"/>
        <w:pageBreakBefore w:val="0"/>
        <w:widowControl w:val="0"/>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在发包人和承包人不能通过协商达成一致意见时，发包人授权监理人对以下事项进行确定：</w:t>
      </w:r>
    </w:p>
    <w:p w14:paraId="3B7BFE5D">
      <w:pPr>
        <w:pStyle w:val="19"/>
        <w:keepNext w:val="0"/>
        <w:keepLines w:val="0"/>
        <w:pageBreakBefore w:val="0"/>
        <w:widowControl w:val="0"/>
        <w:tabs>
          <w:tab w:val="left" w:pos="4184"/>
        </w:tabs>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无</w:t>
      </w:r>
    </w:p>
    <w:p w14:paraId="23CC7CD9">
      <w:pPr>
        <w:keepNext w:val="0"/>
        <w:keepLines w:val="0"/>
        <w:pageBreakBefore w:val="0"/>
        <w:widowControl w:val="0"/>
        <w:numPr>
          <w:ilvl w:val="0"/>
          <w:numId w:val="0"/>
        </w:numPr>
        <w:tabs>
          <w:tab w:val="left" w:pos="667"/>
        </w:tabs>
        <w:kinsoku/>
        <w:wordWrap/>
        <w:overflowPunct/>
        <w:topLinePunct w:val="0"/>
        <w:autoSpaceDE/>
        <w:autoSpaceDN/>
        <w:bidi w:val="0"/>
        <w:adjustRightInd/>
        <w:snapToGrid/>
        <w:spacing w:before="50" w:line="540" w:lineRule="exact"/>
        <w:ind w:left="331" w:leftChars="0" w:right="48" w:rightChars="23"/>
        <w:jc w:val="left"/>
        <w:textAlignment w:val="auto"/>
        <w:rPr>
          <w:rFonts w:hint="eastAsia" w:ascii="宋体" w:hAnsi="宋体" w:eastAsia="宋体" w:cs="宋体"/>
          <w:b/>
          <w:color w:val="auto"/>
          <w:sz w:val="28"/>
          <w:szCs w:val="28"/>
          <w:highlight w:val="none"/>
        </w:rPr>
      </w:pPr>
      <w:bookmarkStart w:id="157" w:name="5. 工程质量"/>
      <w:bookmarkEnd w:id="157"/>
      <w:bookmarkStart w:id="158" w:name="5. 工程质量"/>
      <w:bookmarkEnd w:id="158"/>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工程质量</w:t>
      </w:r>
    </w:p>
    <w:p w14:paraId="6909484B">
      <w:pPr>
        <w:keepNext w:val="0"/>
        <w:keepLines w:val="0"/>
        <w:pageBreakBefore w:val="0"/>
        <w:widowControl w:val="0"/>
        <w:numPr>
          <w:ilvl w:val="0"/>
          <w:numId w:val="0"/>
        </w:numPr>
        <w:tabs>
          <w:tab w:val="left" w:pos="777"/>
        </w:tabs>
        <w:kinsoku/>
        <w:wordWrap/>
        <w:overflowPunct/>
        <w:topLinePunct w:val="0"/>
        <w:autoSpaceDE/>
        <w:autoSpaceDN/>
        <w:bidi w:val="0"/>
        <w:adjustRightInd/>
        <w:snapToGrid/>
        <w:spacing w:before="0" w:line="540" w:lineRule="exact"/>
        <w:ind w:left="331" w:leftChars="0" w:right="48" w:rightChars="23"/>
        <w:jc w:val="left"/>
        <w:textAlignment w:val="auto"/>
        <w:rPr>
          <w:rFonts w:hint="eastAsia" w:ascii="宋体" w:hAnsi="宋体" w:eastAsia="宋体" w:cs="宋体"/>
          <w:b/>
          <w:color w:val="auto"/>
          <w:sz w:val="28"/>
          <w:szCs w:val="28"/>
          <w:highlight w:val="none"/>
        </w:rPr>
      </w:pPr>
      <w:bookmarkStart w:id="159" w:name="5.1 质量要求"/>
      <w:bookmarkEnd w:id="159"/>
      <w:bookmarkStart w:id="160" w:name="5.1 质量要求"/>
      <w:bookmarkEnd w:id="160"/>
      <w:r>
        <w:rPr>
          <w:rFonts w:hint="eastAsia" w:ascii="宋体" w:hAnsi="宋体" w:eastAsia="宋体" w:cs="宋体"/>
          <w:b/>
          <w:color w:val="auto"/>
          <w:sz w:val="28"/>
          <w:szCs w:val="28"/>
          <w:highlight w:val="none"/>
          <w:lang w:val="en-US" w:eastAsia="zh-CN"/>
        </w:rPr>
        <w:t>5.1</w:t>
      </w:r>
      <w:r>
        <w:rPr>
          <w:rFonts w:hint="eastAsia" w:ascii="宋体" w:hAnsi="宋体" w:eastAsia="宋体" w:cs="宋体"/>
          <w:b/>
          <w:color w:val="auto"/>
          <w:sz w:val="28"/>
          <w:szCs w:val="28"/>
          <w:highlight w:val="none"/>
        </w:rPr>
        <w:t>质量要求</w:t>
      </w:r>
    </w:p>
    <w:p w14:paraId="4D5EA875">
      <w:pPr>
        <w:pStyle w:val="196"/>
        <w:keepNext w:val="0"/>
        <w:keepLines w:val="0"/>
        <w:pageBreakBefore w:val="0"/>
        <w:widowControl w:val="0"/>
        <w:numPr>
          <w:ilvl w:val="0"/>
          <w:numId w:val="0"/>
        </w:numPr>
        <w:tabs>
          <w:tab w:val="left" w:pos="993"/>
          <w:tab w:val="left" w:pos="3632"/>
          <w:tab w:val="left" w:pos="3963"/>
        </w:tabs>
        <w:kinsoku/>
        <w:wordWrap/>
        <w:overflowPunct/>
        <w:topLinePunct w:val="0"/>
        <w:autoSpaceDE/>
        <w:autoSpaceDN/>
        <w:bidi w:val="0"/>
        <w:adjustRightInd/>
        <w:snapToGrid/>
        <w:spacing w:before="0" w:after="0" w:line="540" w:lineRule="exact"/>
        <w:ind w:left="332" w:leftChars="0"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5.1.1</w:t>
      </w:r>
      <w:r>
        <w:rPr>
          <w:rFonts w:hint="eastAsia" w:ascii="宋体" w:hAnsi="宋体" w:eastAsia="宋体" w:cs="宋体"/>
          <w:color w:val="auto"/>
          <w:sz w:val="28"/>
          <w:szCs w:val="28"/>
          <w:highlight w:val="none"/>
        </w:rPr>
        <w:t>特</w:t>
      </w:r>
      <w:r>
        <w:rPr>
          <w:rFonts w:hint="eastAsia" w:ascii="宋体" w:hAnsi="宋体" w:eastAsia="宋体" w:cs="宋体"/>
          <w:color w:val="auto"/>
          <w:spacing w:val="-3"/>
          <w:sz w:val="28"/>
          <w:szCs w:val="28"/>
          <w:highlight w:val="none"/>
        </w:rPr>
        <w:t>殊</w:t>
      </w:r>
      <w:r>
        <w:rPr>
          <w:rFonts w:hint="eastAsia" w:ascii="宋体" w:hAnsi="宋体" w:eastAsia="宋体" w:cs="宋体"/>
          <w:color w:val="auto"/>
          <w:sz w:val="28"/>
          <w:szCs w:val="28"/>
          <w:highlight w:val="none"/>
        </w:rPr>
        <w:t>质量</w:t>
      </w:r>
      <w:r>
        <w:rPr>
          <w:rFonts w:hint="eastAsia" w:ascii="宋体" w:hAnsi="宋体" w:eastAsia="宋体" w:cs="宋体"/>
          <w:color w:val="auto"/>
          <w:spacing w:val="-3"/>
          <w:sz w:val="28"/>
          <w:szCs w:val="28"/>
          <w:highlight w:val="none"/>
        </w:rPr>
        <w:t>标</w:t>
      </w:r>
      <w:r>
        <w:rPr>
          <w:rFonts w:hint="eastAsia" w:ascii="宋体" w:hAnsi="宋体" w:eastAsia="宋体" w:cs="宋体"/>
          <w:color w:val="auto"/>
          <w:sz w:val="28"/>
          <w:szCs w:val="28"/>
          <w:highlight w:val="none"/>
        </w:rPr>
        <w:t>准和</w:t>
      </w:r>
      <w:r>
        <w:rPr>
          <w:rFonts w:hint="eastAsia" w:ascii="宋体" w:hAnsi="宋体" w:eastAsia="宋体" w:cs="宋体"/>
          <w:color w:val="auto"/>
          <w:spacing w:val="-3"/>
          <w:sz w:val="28"/>
          <w:szCs w:val="28"/>
          <w:highlight w:val="none"/>
        </w:rPr>
        <w:t>要</w:t>
      </w:r>
      <w:r>
        <w:rPr>
          <w:rFonts w:hint="eastAsia" w:ascii="宋体" w:hAnsi="宋体" w:eastAsia="宋体" w:cs="宋体"/>
          <w:color w:val="auto"/>
          <w:sz w:val="28"/>
          <w:szCs w:val="28"/>
          <w:highlight w:val="none"/>
        </w:rPr>
        <w:t>求：</w:t>
      </w:r>
      <w:r>
        <w:rPr>
          <w:rFonts w:hint="eastAsia" w:ascii="宋体" w:hAnsi="宋体" w:eastAsia="宋体" w:cs="宋体"/>
          <w:color w:val="auto"/>
          <w:sz w:val="28"/>
          <w:szCs w:val="28"/>
          <w:highlight w:val="none"/>
          <w:u w:val="single"/>
          <w:lang w:val="en-US" w:eastAsia="zh-CN"/>
        </w:rPr>
        <w:t>/</w:t>
      </w:r>
    </w:p>
    <w:p w14:paraId="2A7F46DC">
      <w:pPr>
        <w:pStyle w:val="196"/>
        <w:keepNext w:val="0"/>
        <w:keepLines w:val="0"/>
        <w:pageBreakBefore w:val="0"/>
        <w:widowControl w:val="0"/>
        <w:numPr>
          <w:ilvl w:val="0"/>
          <w:numId w:val="0"/>
        </w:numPr>
        <w:tabs>
          <w:tab w:val="left" w:pos="993"/>
          <w:tab w:val="left" w:pos="3632"/>
          <w:tab w:val="left" w:pos="3963"/>
        </w:tabs>
        <w:kinsoku/>
        <w:wordWrap/>
        <w:overflowPunct/>
        <w:topLinePunct w:val="0"/>
        <w:autoSpaceDE/>
        <w:autoSpaceDN/>
        <w:bidi w:val="0"/>
        <w:adjustRightInd/>
        <w:snapToGrid/>
        <w:spacing w:before="0" w:after="0" w:line="540" w:lineRule="exact"/>
        <w:ind w:left="332" w:leftChars="0"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5.1.2</w:t>
      </w: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奖</w:t>
      </w:r>
      <w:r>
        <w:rPr>
          <w:rFonts w:hint="eastAsia" w:ascii="宋体" w:hAnsi="宋体" w:eastAsia="宋体" w:cs="宋体"/>
          <w:color w:val="auto"/>
          <w:sz w:val="28"/>
          <w:szCs w:val="28"/>
          <w:highlight w:val="none"/>
        </w:rPr>
        <w:t>项的</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r>
        <w:rPr>
          <w:rFonts w:hint="eastAsia" w:ascii="宋体" w:hAnsi="宋体" w:eastAsia="宋体" w:cs="宋体"/>
          <w:color w:val="auto"/>
          <w:sz w:val="28"/>
          <w:szCs w:val="28"/>
          <w:highlight w:val="none"/>
          <w:u w:val="single"/>
          <w:lang w:val="en-US" w:eastAsia="zh-CN"/>
        </w:rPr>
        <w:t>/</w:t>
      </w:r>
    </w:p>
    <w:p w14:paraId="62BBD421">
      <w:pPr>
        <w:pStyle w:val="19"/>
        <w:keepNext w:val="0"/>
        <w:keepLines w:val="0"/>
        <w:pageBreakBefore w:val="0"/>
        <w:widowControl w:val="0"/>
        <w:kinsoku/>
        <w:wordWrap/>
        <w:overflowPunct/>
        <w:topLinePunct w:val="0"/>
        <w:autoSpaceDE/>
        <w:autoSpaceDN/>
        <w:bidi w:val="0"/>
        <w:adjustRightInd/>
        <w:snapToGrid/>
        <w:spacing w:line="540" w:lineRule="exact"/>
        <w:ind w:left="332" w:right="48" w:rightChars="23"/>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5.3 隐蔽工程检查</w:t>
      </w:r>
    </w:p>
    <w:p w14:paraId="585A1976">
      <w:pPr>
        <w:pStyle w:val="19"/>
        <w:keepNext w:val="0"/>
        <w:keepLines w:val="0"/>
        <w:pageBreakBefore w:val="0"/>
        <w:widowControl w:val="0"/>
        <w:kinsoku/>
        <w:wordWrap/>
        <w:overflowPunct/>
        <w:topLinePunct w:val="0"/>
        <w:autoSpaceDE/>
        <w:autoSpaceDN/>
        <w:bidi w:val="0"/>
        <w:adjustRightInd/>
        <w:snapToGrid/>
        <w:spacing w:before="1" w:line="540" w:lineRule="exact"/>
        <w:ind w:left="332" w:right="48" w:rightChars="23"/>
        <w:jc w:val="both"/>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5.3.2</w:t>
      </w:r>
      <w:r>
        <w:rPr>
          <w:rFonts w:hint="eastAsia" w:ascii="宋体" w:hAnsi="宋体" w:eastAsia="宋体" w:cs="宋体"/>
          <w:color w:val="auto"/>
          <w:spacing w:val="-15"/>
          <w:sz w:val="28"/>
          <w:szCs w:val="28"/>
          <w:highlight w:val="none"/>
        </w:rPr>
        <w:t xml:space="preserve"> 承包人提前通知监理人隐蔽工程检查的期限的约定：</w:t>
      </w:r>
      <w:r>
        <w:rPr>
          <w:rFonts w:hint="eastAsia" w:ascii="宋体" w:hAnsi="宋体" w:eastAsia="宋体" w:cs="宋体"/>
          <w:color w:val="auto"/>
          <w:spacing w:val="-15"/>
          <w:sz w:val="28"/>
          <w:szCs w:val="28"/>
          <w:highlight w:val="none"/>
          <w:u w:val="single"/>
        </w:rPr>
        <w:t xml:space="preserve">工程隐蔽或中间验收前 </w:t>
      </w:r>
      <w:r>
        <w:rPr>
          <w:rFonts w:hint="eastAsia" w:ascii="宋体" w:hAnsi="宋体" w:eastAsia="宋体" w:cs="宋体"/>
          <w:color w:val="auto"/>
          <w:sz w:val="28"/>
          <w:szCs w:val="28"/>
          <w:highlight w:val="none"/>
          <w:u w:val="single"/>
        </w:rPr>
        <w:t>12</w:t>
      </w:r>
      <w:r>
        <w:rPr>
          <w:rFonts w:hint="eastAsia" w:ascii="宋体" w:hAnsi="宋体" w:eastAsia="宋体" w:cs="宋体"/>
          <w:color w:val="auto"/>
          <w:spacing w:val="-9"/>
          <w:sz w:val="28"/>
          <w:szCs w:val="28"/>
          <w:highlight w:val="none"/>
          <w:u w:val="single"/>
        </w:rPr>
        <w:t xml:space="preserve"> 小时以书面形式</w:t>
      </w:r>
      <w:r>
        <w:rPr>
          <w:rFonts w:hint="eastAsia" w:ascii="宋体" w:hAnsi="宋体" w:eastAsia="宋体" w:cs="宋体"/>
          <w:color w:val="auto"/>
          <w:spacing w:val="-7"/>
          <w:sz w:val="28"/>
          <w:szCs w:val="28"/>
          <w:highlight w:val="none"/>
          <w:u w:val="single"/>
        </w:rPr>
        <w:t>通知发包人和监理工程师验收的内容、时间、地点，承包人准备验收记录单</w:t>
      </w:r>
      <w:r>
        <w:rPr>
          <w:rFonts w:hint="eastAsia" w:ascii="宋体" w:hAnsi="宋体" w:eastAsia="宋体" w:cs="宋体"/>
          <w:color w:val="auto"/>
          <w:sz w:val="28"/>
          <w:szCs w:val="28"/>
          <w:highlight w:val="none"/>
          <w:u w:val="single"/>
        </w:rPr>
        <w:t>（</w:t>
      </w:r>
      <w:r>
        <w:rPr>
          <w:rFonts w:hint="eastAsia" w:ascii="宋体" w:hAnsi="宋体" w:eastAsia="宋体" w:cs="宋体"/>
          <w:color w:val="auto"/>
          <w:spacing w:val="-3"/>
          <w:sz w:val="28"/>
          <w:szCs w:val="28"/>
          <w:highlight w:val="none"/>
          <w:u w:val="single"/>
        </w:rPr>
        <w:t>最好是印制的表格</w:t>
      </w:r>
      <w:r>
        <w:rPr>
          <w:rFonts w:hint="eastAsia" w:ascii="宋体" w:hAnsi="宋体" w:eastAsia="宋体" w:cs="宋体"/>
          <w:color w:val="auto"/>
          <w:spacing w:val="-8"/>
          <w:sz w:val="28"/>
          <w:szCs w:val="28"/>
          <w:highlight w:val="none"/>
          <w:u w:val="single"/>
        </w:rPr>
        <w:t>）</w:t>
      </w:r>
      <w:r>
        <w:rPr>
          <w:rFonts w:hint="eastAsia" w:ascii="宋体" w:hAnsi="宋体" w:eastAsia="宋体" w:cs="宋体"/>
          <w:color w:val="auto"/>
          <w:sz w:val="28"/>
          <w:szCs w:val="28"/>
          <w:highlight w:val="none"/>
          <w:u w:val="single"/>
        </w:rPr>
        <w:t>由</w:t>
      </w:r>
      <w:r>
        <w:rPr>
          <w:rFonts w:hint="eastAsia" w:ascii="宋体" w:hAnsi="宋体" w:eastAsia="宋体" w:cs="宋体"/>
          <w:color w:val="auto"/>
          <w:spacing w:val="-7"/>
          <w:sz w:val="28"/>
          <w:szCs w:val="28"/>
          <w:highlight w:val="none"/>
          <w:u w:val="single"/>
        </w:rPr>
        <w:t>双方签证。验收合格，承包人可进行隐蔽和继续施工；验收不合格，双方商订时限内修改后按上述循</w:t>
      </w:r>
      <w:r>
        <w:rPr>
          <w:rFonts w:hint="eastAsia" w:ascii="宋体" w:hAnsi="宋体" w:eastAsia="宋体" w:cs="宋体"/>
          <w:color w:val="auto"/>
          <w:spacing w:val="-3"/>
          <w:sz w:val="28"/>
          <w:szCs w:val="28"/>
          <w:highlight w:val="none"/>
          <w:u w:val="single"/>
        </w:rPr>
        <w:t>序重新验收。</w:t>
      </w:r>
    </w:p>
    <w:p w14:paraId="26FF3478">
      <w:pPr>
        <w:pStyle w:val="19"/>
        <w:keepNext w:val="0"/>
        <w:keepLines w:val="0"/>
        <w:pageBreakBefore w:val="0"/>
        <w:widowControl w:val="0"/>
        <w:tabs>
          <w:tab w:val="left" w:pos="3414"/>
        </w:tabs>
        <w:kinsoku/>
        <w:wordWrap/>
        <w:overflowPunct/>
        <w:topLinePunct w:val="0"/>
        <w:autoSpaceDE/>
        <w:autoSpaceDN/>
        <w:bidi w:val="0"/>
        <w:adjustRightInd/>
        <w:snapToGrid/>
        <w:spacing w:before="6" w:line="54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人不</w:t>
      </w:r>
      <w:r>
        <w:rPr>
          <w:rFonts w:hint="eastAsia" w:ascii="宋体" w:hAnsi="宋体" w:eastAsia="宋体" w:cs="宋体"/>
          <w:color w:val="auto"/>
          <w:spacing w:val="-3"/>
          <w:sz w:val="28"/>
          <w:szCs w:val="28"/>
          <w:highlight w:val="none"/>
        </w:rPr>
        <w:t>能</w:t>
      </w:r>
      <w:r>
        <w:rPr>
          <w:rFonts w:hint="eastAsia" w:ascii="宋体" w:hAnsi="宋体" w:eastAsia="宋体" w:cs="宋体"/>
          <w:color w:val="auto"/>
          <w:sz w:val="28"/>
          <w:szCs w:val="28"/>
          <w:highlight w:val="none"/>
        </w:rPr>
        <w:t>按时</w:t>
      </w:r>
      <w:r>
        <w:rPr>
          <w:rFonts w:hint="eastAsia" w:ascii="宋体" w:hAnsi="宋体" w:eastAsia="宋体" w:cs="宋体"/>
          <w:color w:val="auto"/>
          <w:spacing w:val="-3"/>
          <w:sz w:val="28"/>
          <w:szCs w:val="28"/>
          <w:highlight w:val="none"/>
        </w:rPr>
        <w:t>进</w:t>
      </w:r>
      <w:r>
        <w:rPr>
          <w:rFonts w:hint="eastAsia" w:ascii="宋体" w:hAnsi="宋体" w:eastAsia="宋体" w:cs="宋体"/>
          <w:color w:val="auto"/>
          <w:sz w:val="28"/>
          <w:szCs w:val="28"/>
          <w:highlight w:val="none"/>
        </w:rPr>
        <w:t>行检</w:t>
      </w:r>
      <w:r>
        <w:rPr>
          <w:rFonts w:hint="eastAsia" w:ascii="宋体" w:hAnsi="宋体" w:eastAsia="宋体" w:cs="宋体"/>
          <w:color w:val="auto"/>
          <w:spacing w:val="-3"/>
          <w:sz w:val="28"/>
          <w:szCs w:val="28"/>
          <w:highlight w:val="none"/>
        </w:rPr>
        <w:t>查</w:t>
      </w:r>
      <w:r>
        <w:rPr>
          <w:rFonts w:hint="eastAsia" w:ascii="宋体" w:hAnsi="宋体" w:eastAsia="宋体" w:cs="宋体"/>
          <w:color w:val="auto"/>
          <w:sz w:val="28"/>
          <w:szCs w:val="28"/>
          <w:highlight w:val="none"/>
        </w:rPr>
        <w:t>时，</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提前</w:t>
      </w:r>
      <w:r>
        <w:rPr>
          <w:rFonts w:hint="eastAsia" w:ascii="宋体" w:hAnsi="宋体" w:eastAsia="宋体" w:cs="宋体"/>
          <w:color w:val="auto"/>
          <w:spacing w:val="-3"/>
          <w:sz w:val="28"/>
          <w:szCs w:val="28"/>
          <w:highlight w:val="none"/>
        </w:rPr>
        <w:t>小</w:t>
      </w:r>
      <w:r>
        <w:rPr>
          <w:rFonts w:hint="eastAsia" w:ascii="宋体" w:hAnsi="宋体" w:eastAsia="宋体" w:cs="宋体"/>
          <w:color w:val="auto"/>
          <w:sz w:val="28"/>
          <w:szCs w:val="28"/>
          <w:highlight w:val="none"/>
        </w:rPr>
        <w:t>时提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书面</w:t>
      </w:r>
      <w:r>
        <w:rPr>
          <w:rFonts w:hint="eastAsia" w:ascii="宋体" w:hAnsi="宋体" w:eastAsia="宋体" w:cs="宋体"/>
          <w:color w:val="auto"/>
          <w:spacing w:val="-3"/>
          <w:sz w:val="28"/>
          <w:szCs w:val="28"/>
          <w:highlight w:val="none"/>
        </w:rPr>
        <w:t>延</w:t>
      </w:r>
      <w:r>
        <w:rPr>
          <w:rFonts w:hint="eastAsia" w:ascii="宋体" w:hAnsi="宋体" w:eastAsia="宋体" w:cs="宋体"/>
          <w:color w:val="auto"/>
          <w:sz w:val="28"/>
          <w:szCs w:val="28"/>
          <w:highlight w:val="none"/>
        </w:rPr>
        <w:t>期要</w:t>
      </w:r>
      <w:r>
        <w:rPr>
          <w:rFonts w:hint="eastAsia" w:ascii="宋体" w:hAnsi="宋体" w:eastAsia="宋体" w:cs="宋体"/>
          <w:color w:val="auto"/>
          <w:spacing w:val="-3"/>
          <w:sz w:val="28"/>
          <w:szCs w:val="28"/>
          <w:highlight w:val="none"/>
        </w:rPr>
        <w:t>求</w:t>
      </w: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延期</w:t>
      </w:r>
      <w:r>
        <w:rPr>
          <w:rFonts w:hint="eastAsia" w:ascii="宋体" w:hAnsi="宋体" w:eastAsia="宋体" w:cs="宋体"/>
          <w:color w:val="auto"/>
          <w:spacing w:val="-3"/>
          <w:sz w:val="28"/>
          <w:szCs w:val="28"/>
          <w:highlight w:val="none"/>
        </w:rPr>
        <w:t>最</w:t>
      </w:r>
      <w:r>
        <w:rPr>
          <w:rFonts w:hint="eastAsia" w:ascii="宋体" w:hAnsi="宋体" w:eastAsia="宋体" w:cs="宋体"/>
          <w:color w:val="auto"/>
          <w:sz w:val="28"/>
          <w:szCs w:val="28"/>
          <w:highlight w:val="none"/>
        </w:rPr>
        <w:t>长不</w:t>
      </w:r>
      <w:r>
        <w:rPr>
          <w:rFonts w:hint="eastAsia" w:ascii="宋体" w:hAnsi="宋体" w:eastAsia="宋体" w:cs="宋体"/>
          <w:color w:val="auto"/>
          <w:spacing w:val="-3"/>
          <w:sz w:val="28"/>
          <w:szCs w:val="28"/>
          <w:highlight w:val="none"/>
        </w:rPr>
        <w:t>得</w:t>
      </w:r>
      <w:r>
        <w:rPr>
          <w:rFonts w:hint="eastAsia" w:ascii="宋体" w:hAnsi="宋体" w:eastAsia="宋体" w:cs="宋体"/>
          <w:color w:val="auto"/>
          <w:sz w:val="28"/>
          <w:szCs w:val="28"/>
          <w:highlight w:val="none"/>
        </w:rPr>
        <w:t>超过：</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小</w:t>
      </w:r>
      <w:r>
        <w:rPr>
          <w:rFonts w:hint="eastAsia" w:ascii="宋体" w:hAnsi="宋体" w:eastAsia="宋体" w:cs="宋体"/>
          <w:color w:val="auto"/>
          <w:spacing w:val="-3"/>
          <w:sz w:val="28"/>
          <w:szCs w:val="28"/>
          <w:highlight w:val="none"/>
        </w:rPr>
        <w:t>时</w:t>
      </w:r>
      <w:r>
        <w:rPr>
          <w:rFonts w:hint="eastAsia" w:ascii="宋体" w:hAnsi="宋体" w:eastAsia="宋体" w:cs="宋体"/>
          <w:color w:val="auto"/>
          <w:sz w:val="28"/>
          <w:szCs w:val="28"/>
          <w:highlight w:val="none"/>
        </w:rPr>
        <w:t>。</w:t>
      </w:r>
    </w:p>
    <w:p w14:paraId="7245F8DE">
      <w:pPr>
        <w:keepNext w:val="0"/>
        <w:keepLines w:val="0"/>
        <w:pageBreakBefore w:val="0"/>
        <w:widowControl w:val="0"/>
        <w:numPr>
          <w:ilvl w:val="0"/>
          <w:numId w:val="0"/>
        </w:numPr>
        <w:tabs>
          <w:tab w:val="left" w:pos="667"/>
        </w:tabs>
        <w:kinsoku/>
        <w:wordWrap/>
        <w:overflowPunct/>
        <w:topLinePunct w:val="0"/>
        <w:autoSpaceDE/>
        <w:autoSpaceDN/>
        <w:bidi w:val="0"/>
        <w:adjustRightInd/>
        <w:snapToGrid/>
        <w:spacing w:before="0" w:line="540" w:lineRule="exact"/>
        <w:ind w:left="331" w:leftChars="0" w:right="48" w:rightChars="23"/>
        <w:jc w:val="left"/>
        <w:textAlignment w:val="auto"/>
        <w:rPr>
          <w:rFonts w:hint="eastAsia" w:ascii="宋体" w:hAnsi="宋体" w:eastAsia="宋体" w:cs="宋体"/>
          <w:b/>
          <w:color w:val="auto"/>
          <w:sz w:val="28"/>
          <w:szCs w:val="28"/>
          <w:highlight w:val="none"/>
        </w:rPr>
      </w:pPr>
      <w:bookmarkStart w:id="161" w:name="6. 安全文明施工与环境保护"/>
      <w:bookmarkEnd w:id="161"/>
      <w:bookmarkStart w:id="162" w:name="6. 安全文明施工与环境保护"/>
      <w:bookmarkEnd w:id="162"/>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安全文明施工与环境保护</w:t>
      </w:r>
    </w:p>
    <w:p w14:paraId="19B21031">
      <w:pPr>
        <w:keepNext w:val="0"/>
        <w:keepLines w:val="0"/>
        <w:pageBreakBefore w:val="0"/>
        <w:widowControl w:val="0"/>
        <w:numPr>
          <w:ilvl w:val="0"/>
          <w:numId w:val="0"/>
        </w:numPr>
        <w:tabs>
          <w:tab w:val="left" w:pos="777"/>
        </w:tabs>
        <w:kinsoku/>
        <w:wordWrap/>
        <w:overflowPunct/>
        <w:topLinePunct w:val="0"/>
        <w:autoSpaceDE/>
        <w:autoSpaceDN/>
        <w:bidi w:val="0"/>
        <w:adjustRightInd/>
        <w:snapToGrid/>
        <w:spacing w:before="0" w:line="540" w:lineRule="exact"/>
        <w:ind w:left="331" w:leftChars="0" w:right="48" w:rightChars="23"/>
        <w:jc w:val="left"/>
        <w:textAlignment w:val="auto"/>
        <w:rPr>
          <w:rFonts w:hint="eastAsia" w:ascii="宋体" w:hAnsi="宋体" w:eastAsia="宋体" w:cs="宋体"/>
          <w:b/>
          <w:color w:val="auto"/>
          <w:sz w:val="28"/>
          <w:szCs w:val="28"/>
          <w:highlight w:val="none"/>
        </w:rPr>
      </w:pPr>
      <w:bookmarkStart w:id="163" w:name="6.1 安全文明施工"/>
      <w:bookmarkEnd w:id="163"/>
      <w:bookmarkStart w:id="164" w:name="6.1 安全文明施工"/>
      <w:bookmarkEnd w:id="164"/>
      <w:r>
        <w:rPr>
          <w:rFonts w:hint="eastAsia" w:ascii="宋体" w:hAnsi="宋体" w:eastAsia="宋体" w:cs="宋体"/>
          <w:b/>
          <w:color w:val="auto"/>
          <w:sz w:val="28"/>
          <w:szCs w:val="28"/>
          <w:highlight w:val="none"/>
          <w:lang w:val="en-US" w:eastAsia="zh-CN"/>
        </w:rPr>
        <w:t>6.1</w:t>
      </w:r>
      <w:r>
        <w:rPr>
          <w:rFonts w:hint="eastAsia" w:ascii="宋体" w:hAnsi="宋体" w:eastAsia="宋体" w:cs="宋体"/>
          <w:b/>
          <w:color w:val="auto"/>
          <w:sz w:val="28"/>
          <w:szCs w:val="28"/>
          <w:highlight w:val="none"/>
        </w:rPr>
        <w:t>安全文明施工</w:t>
      </w:r>
    </w:p>
    <w:p w14:paraId="057EC085">
      <w:pPr>
        <w:pStyle w:val="196"/>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before="0" w:after="0" w:line="540" w:lineRule="exact"/>
        <w:ind w:left="332" w:leftChars="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6.1.1</w:t>
      </w:r>
      <w:r>
        <w:rPr>
          <w:rFonts w:hint="eastAsia" w:ascii="宋体" w:hAnsi="宋体" w:eastAsia="宋体" w:cs="宋体"/>
          <w:color w:val="auto"/>
          <w:spacing w:val="-3"/>
          <w:sz w:val="28"/>
          <w:szCs w:val="28"/>
          <w:highlight w:val="none"/>
        </w:rPr>
        <w:t>项目安全生产的达标目标及相应事项的约定：。</w:t>
      </w:r>
      <w:r>
        <w:rPr>
          <w:rFonts w:hint="eastAsia" w:ascii="宋体" w:hAnsi="宋体" w:eastAsia="宋体" w:cs="宋体"/>
          <w:color w:val="auto"/>
          <w:spacing w:val="-3"/>
          <w:sz w:val="28"/>
          <w:szCs w:val="28"/>
          <w:highlight w:val="none"/>
          <w:u w:val="single"/>
        </w:rPr>
        <w:t>关于安全文明施工奖项的约定</w:t>
      </w:r>
      <w:r>
        <w:rPr>
          <w:rFonts w:hint="eastAsia" w:ascii="宋体" w:hAnsi="宋体" w:eastAsia="宋体" w:cs="宋体"/>
          <w:color w:val="auto"/>
          <w:spacing w:val="-3"/>
          <w:sz w:val="28"/>
          <w:szCs w:val="28"/>
          <w:highlight w:val="none"/>
          <w:u w:val="single"/>
          <w:lang w:eastAsia="zh-CN"/>
        </w:rPr>
        <w:t>；</w:t>
      </w:r>
    </w:p>
    <w:p w14:paraId="19545C98">
      <w:pPr>
        <w:pStyle w:val="196"/>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before="0" w:after="0" w:line="54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5"/>
          <w:sz w:val="28"/>
          <w:szCs w:val="28"/>
          <w:highlight w:val="none"/>
          <w:lang w:val="en-US" w:eastAsia="zh-CN"/>
        </w:rPr>
        <w:t>6.1.4</w:t>
      </w:r>
      <w:r>
        <w:rPr>
          <w:rFonts w:hint="eastAsia" w:ascii="宋体" w:hAnsi="宋体" w:eastAsia="宋体" w:cs="宋体"/>
          <w:color w:val="auto"/>
          <w:spacing w:val="-5"/>
          <w:sz w:val="28"/>
          <w:szCs w:val="28"/>
          <w:highlight w:val="none"/>
        </w:rPr>
        <w:t>关于治安保卫的特别约定：</w:t>
      </w:r>
      <w:r>
        <w:rPr>
          <w:rFonts w:hint="eastAsia" w:ascii="宋体" w:hAnsi="宋体" w:eastAsia="宋体" w:cs="宋体"/>
          <w:color w:val="auto"/>
          <w:spacing w:val="-4"/>
          <w:sz w:val="28"/>
          <w:szCs w:val="28"/>
          <w:highlight w:val="none"/>
          <w:u w:val="single"/>
        </w:rPr>
        <w:t>承包人应承担施工安全保卫工作及非夜间施工照明的责任，承包人</w:t>
      </w:r>
      <w:r>
        <w:rPr>
          <w:rFonts w:hint="eastAsia" w:ascii="宋体" w:hAnsi="宋体" w:eastAsia="宋体" w:cs="宋体"/>
          <w:color w:val="auto"/>
          <w:sz w:val="28"/>
          <w:szCs w:val="28"/>
          <w:highlight w:val="none"/>
          <w:u w:val="single"/>
        </w:rPr>
        <w:t>应采取一切合理的预防措施，防止人员伤亡、财产损失事故，费用由承包人承担。承包人生活设施及施工场应自费配备消防设备，防止火灾发生。</w:t>
      </w:r>
    </w:p>
    <w:p w14:paraId="4AB50552">
      <w:pPr>
        <w:pStyle w:val="19"/>
        <w:keepNext w:val="0"/>
        <w:keepLines w:val="0"/>
        <w:pageBreakBefore w:val="0"/>
        <w:widowControl w:val="0"/>
        <w:tabs>
          <w:tab w:val="left" w:pos="5612"/>
        </w:tabs>
        <w:kinsoku/>
        <w:wordWrap/>
        <w:overflowPunct/>
        <w:topLinePunct w:val="0"/>
        <w:autoSpaceDE/>
        <w:autoSpaceDN/>
        <w:bidi w:val="0"/>
        <w:adjustRightInd/>
        <w:snapToGrid/>
        <w:spacing w:before="77" w:line="54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编制</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工场</w:t>
      </w:r>
      <w:r>
        <w:rPr>
          <w:rFonts w:hint="eastAsia" w:ascii="宋体" w:hAnsi="宋体" w:eastAsia="宋体" w:cs="宋体"/>
          <w:color w:val="auto"/>
          <w:spacing w:val="-3"/>
          <w:sz w:val="28"/>
          <w:szCs w:val="28"/>
          <w:highlight w:val="none"/>
        </w:rPr>
        <w:t>地</w:t>
      </w:r>
      <w:r>
        <w:rPr>
          <w:rFonts w:hint="eastAsia" w:ascii="宋体" w:hAnsi="宋体" w:eastAsia="宋体" w:cs="宋体"/>
          <w:color w:val="auto"/>
          <w:sz w:val="28"/>
          <w:szCs w:val="28"/>
          <w:highlight w:val="none"/>
        </w:rPr>
        <w:t>治安</w:t>
      </w:r>
      <w:r>
        <w:rPr>
          <w:rFonts w:hint="eastAsia" w:ascii="宋体" w:hAnsi="宋体" w:eastAsia="宋体" w:cs="宋体"/>
          <w:color w:val="auto"/>
          <w:spacing w:val="-3"/>
          <w:sz w:val="28"/>
          <w:szCs w:val="28"/>
          <w:highlight w:val="none"/>
        </w:rPr>
        <w:t>管</w:t>
      </w:r>
      <w:r>
        <w:rPr>
          <w:rFonts w:hint="eastAsia" w:ascii="宋体" w:hAnsi="宋体" w:eastAsia="宋体" w:cs="宋体"/>
          <w:color w:val="auto"/>
          <w:sz w:val="28"/>
          <w:szCs w:val="28"/>
          <w:highlight w:val="none"/>
        </w:rPr>
        <w:t>理计</w:t>
      </w:r>
      <w:r>
        <w:rPr>
          <w:rFonts w:hint="eastAsia" w:ascii="宋体" w:hAnsi="宋体" w:eastAsia="宋体" w:cs="宋体"/>
          <w:color w:val="auto"/>
          <w:spacing w:val="-3"/>
          <w:sz w:val="28"/>
          <w:szCs w:val="28"/>
          <w:highlight w:val="none"/>
        </w:rPr>
        <w:t>划</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p>
    <w:p w14:paraId="1B0B164E">
      <w:pPr>
        <w:pStyle w:val="196"/>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before="1" w:after="0" w:line="540" w:lineRule="exact"/>
        <w:ind w:leftChars="200" w:right="48" w:rightChars="23" w:firstLine="276" w:firstLineChars="1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6.1.5</w:t>
      </w:r>
      <w:r>
        <w:rPr>
          <w:rFonts w:hint="eastAsia" w:ascii="宋体" w:hAnsi="宋体" w:eastAsia="宋体" w:cs="宋体"/>
          <w:color w:val="auto"/>
          <w:spacing w:val="-2"/>
          <w:sz w:val="28"/>
          <w:szCs w:val="28"/>
          <w:highlight w:val="none"/>
        </w:rPr>
        <w:t>文明施工</w:t>
      </w:r>
    </w:p>
    <w:p w14:paraId="4FB1E3F5">
      <w:pPr>
        <w:pStyle w:val="19"/>
        <w:keepNext w:val="0"/>
        <w:keepLines w:val="0"/>
        <w:pageBreakBefore w:val="0"/>
        <w:widowControl w:val="0"/>
        <w:tabs>
          <w:tab w:val="left" w:pos="6054"/>
        </w:tabs>
        <w:kinsoku/>
        <w:wordWrap/>
        <w:overflowPunct/>
        <w:topLinePunct w:val="0"/>
        <w:autoSpaceDE/>
        <w:autoSpaceDN/>
        <w:bidi w:val="0"/>
        <w:adjustRightInd/>
        <w:snapToGrid/>
        <w:spacing w:line="54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当事</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对文</w:t>
      </w:r>
      <w:r>
        <w:rPr>
          <w:rFonts w:hint="eastAsia" w:ascii="宋体" w:hAnsi="宋体" w:eastAsia="宋体" w:cs="宋体"/>
          <w:color w:val="auto"/>
          <w:spacing w:val="-3"/>
          <w:sz w:val="28"/>
          <w:szCs w:val="28"/>
          <w:highlight w:val="none"/>
        </w:rPr>
        <w:t>明</w:t>
      </w:r>
      <w:r>
        <w:rPr>
          <w:rFonts w:hint="eastAsia" w:ascii="宋体" w:hAnsi="宋体" w:eastAsia="宋体" w:cs="宋体"/>
          <w:color w:val="auto"/>
          <w:sz w:val="28"/>
          <w:szCs w:val="28"/>
          <w:highlight w:val="none"/>
        </w:rPr>
        <w:t>施工</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要求：</w:t>
      </w:r>
      <w:r>
        <w:rPr>
          <w:rFonts w:hint="eastAsia" w:ascii="宋体" w:hAnsi="宋体" w:eastAsia="宋体" w:cs="宋体"/>
          <w:color w:val="auto"/>
          <w:spacing w:val="-3"/>
          <w:sz w:val="28"/>
          <w:szCs w:val="28"/>
          <w:highlight w:val="none"/>
          <w:u w:val="single"/>
          <w:lang w:val="en-US" w:eastAsia="zh-CN"/>
        </w:rPr>
        <w:t>按照</w:t>
      </w:r>
      <w:r>
        <w:rPr>
          <w:rFonts w:hint="eastAsia" w:ascii="宋体" w:hAnsi="宋体" w:eastAsia="宋体" w:cs="宋体"/>
          <w:color w:val="auto"/>
          <w:spacing w:val="-3"/>
          <w:sz w:val="28"/>
          <w:szCs w:val="28"/>
          <w:highlight w:val="none"/>
          <w:u w:val="single"/>
        </w:rPr>
        <w:t>安全文明施工</w:t>
      </w:r>
      <w:r>
        <w:rPr>
          <w:rFonts w:hint="eastAsia" w:ascii="宋体" w:hAnsi="宋体" w:eastAsia="宋体" w:cs="宋体"/>
          <w:color w:val="auto"/>
          <w:spacing w:val="-3"/>
          <w:sz w:val="28"/>
          <w:szCs w:val="28"/>
          <w:highlight w:val="none"/>
          <w:u w:val="single"/>
          <w:lang w:val="en-US" w:eastAsia="zh-CN"/>
        </w:rPr>
        <w:t>相关要求执行。</w:t>
      </w:r>
    </w:p>
    <w:p w14:paraId="5514FFA3">
      <w:pPr>
        <w:pStyle w:val="196"/>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before="0" w:after="0" w:line="540" w:lineRule="exact"/>
        <w:ind w:leftChars="200" w:right="48" w:rightChars="23" w:firstLine="548"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6.1.6</w:t>
      </w:r>
      <w:r>
        <w:rPr>
          <w:rFonts w:hint="eastAsia" w:ascii="宋体" w:hAnsi="宋体" w:eastAsia="宋体" w:cs="宋体"/>
          <w:color w:val="auto"/>
          <w:spacing w:val="-3"/>
          <w:sz w:val="28"/>
          <w:szCs w:val="28"/>
          <w:highlight w:val="none"/>
        </w:rPr>
        <w:t>关于安全文明施工费支付比例和支付期限的约定：</w:t>
      </w:r>
      <w:r>
        <w:rPr>
          <w:rFonts w:hint="eastAsia" w:ascii="宋体" w:hAnsi="宋体" w:eastAsia="宋体" w:cs="宋体"/>
          <w:color w:val="auto"/>
          <w:sz w:val="28"/>
          <w:szCs w:val="28"/>
          <w:highlight w:val="none"/>
          <w:u w:val="single"/>
          <w:lang w:val="en-US" w:eastAsia="zh-CN"/>
        </w:rPr>
        <w:t>/</w:t>
      </w:r>
    </w:p>
    <w:p w14:paraId="512F7613">
      <w:pPr>
        <w:pStyle w:val="196"/>
        <w:keepNext w:val="0"/>
        <w:keepLines w:val="0"/>
        <w:pageBreakBefore w:val="0"/>
        <w:widowControl w:val="0"/>
        <w:numPr>
          <w:ilvl w:val="0"/>
          <w:numId w:val="0"/>
        </w:numPr>
        <w:tabs>
          <w:tab w:val="left" w:pos="886"/>
        </w:tabs>
        <w:kinsoku/>
        <w:wordWrap/>
        <w:overflowPunct/>
        <w:topLinePunct w:val="0"/>
        <w:autoSpaceDE/>
        <w:autoSpaceDN/>
        <w:bidi w:val="0"/>
        <w:adjustRightInd/>
        <w:snapToGrid/>
        <w:spacing w:before="0" w:after="0" w:line="540" w:lineRule="exact"/>
        <w:ind w:leftChars="200" w:right="48" w:rightChars="23" w:firstLine="548"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本合同价款已包含安全文明施工费元。</w:t>
      </w:r>
    </w:p>
    <w:p w14:paraId="61FECDB8">
      <w:pPr>
        <w:pStyle w:val="196"/>
        <w:keepNext w:val="0"/>
        <w:keepLines w:val="0"/>
        <w:pageBreakBefore w:val="0"/>
        <w:widowControl w:val="0"/>
        <w:numPr>
          <w:ilvl w:val="0"/>
          <w:numId w:val="0"/>
        </w:numPr>
        <w:tabs>
          <w:tab w:val="left" w:pos="886"/>
        </w:tabs>
        <w:kinsoku/>
        <w:wordWrap/>
        <w:overflowPunct/>
        <w:topLinePunct w:val="0"/>
        <w:autoSpaceDE/>
        <w:autoSpaceDN/>
        <w:bidi w:val="0"/>
        <w:adjustRightInd/>
        <w:snapToGrid/>
        <w:spacing w:before="0" w:after="0" w:line="540" w:lineRule="exact"/>
        <w:ind w:leftChars="200" w:right="48" w:rightChars="23" w:firstLine="548"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使用要求：专款专用。具体按《广西壮族自治区建设工程安全文明施工费使用管理细则》（</w:t>
      </w:r>
      <w:r>
        <w:rPr>
          <w:rFonts w:hint="eastAsia" w:ascii="宋体" w:hAnsi="宋体" w:eastAsia="宋体" w:cs="宋体"/>
          <w:color w:val="auto"/>
          <w:sz w:val="28"/>
          <w:szCs w:val="28"/>
          <w:highlight w:val="none"/>
        </w:rPr>
        <w:t>桂</w:t>
      </w:r>
      <w:r>
        <w:rPr>
          <w:rFonts w:hint="eastAsia" w:ascii="宋体" w:hAnsi="宋体" w:eastAsia="宋体" w:cs="宋体"/>
          <w:color w:val="auto"/>
          <w:spacing w:val="-2"/>
          <w:sz w:val="28"/>
          <w:szCs w:val="28"/>
          <w:highlight w:val="none"/>
        </w:rPr>
        <w:t>建质〔</w:t>
      </w:r>
      <w:r>
        <w:rPr>
          <w:rFonts w:hint="eastAsia" w:ascii="宋体" w:hAnsi="宋体" w:eastAsia="宋体" w:cs="宋体"/>
          <w:color w:val="auto"/>
          <w:sz w:val="28"/>
          <w:szCs w:val="28"/>
          <w:highlight w:val="none"/>
        </w:rPr>
        <w:t>2015</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16号</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2"/>
          <w:sz w:val="28"/>
          <w:szCs w:val="28"/>
          <w:highlight w:val="none"/>
        </w:rPr>
        <w:t>和市相关规定执行。</w:t>
      </w:r>
    </w:p>
    <w:p w14:paraId="673FDE8F">
      <w:pPr>
        <w:pStyle w:val="196"/>
        <w:keepNext w:val="0"/>
        <w:keepLines w:val="0"/>
        <w:pageBreakBefore w:val="0"/>
        <w:widowControl w:val="0"/>
        <w:numPr>
          <w:ilvl w:val="0"/>
          <w:numId w:val="0"/>
        </w:numPr>
        <w:tabs>
          <w:tab w:val="left" w:pos="886"/>
          <w:tab w:val="left" w:pos="3963"/>
        </w:tabs>
        <w:kinsoku/>
        <w:wordWrap/>
        <w:overflowPunct/>
        <w:topLinePunct w:val="0"/>
        <w:autoSpaceDE/>
        <w:autoSpaceDN/>
        <w:bidi w:val="0"/>
        <w:adjustRightInd/>
        <w:snapToGrid/>
        <w:spacing w:before="50" w:after="0" w:line="54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支</w:t>
      </w:r>
      <w:r>
        <w:rPr>
          <w:rFonts w:hint="eastAsia" w:ascii="宋体" w:hAnsi="宋体" w:eastAsia="宋体" w:cs="宋体"/>
          <w:color w:val="auto"/>
          <w:sz w:val="28"/>
          <w:szCs w:val="28"/>
          <w:highlight w:val="none"/>
        </w:rPr>
        <w:t>付约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无</w:t>
      </w:r>
    </w:p>
    <w:p w14:paraId="4818929C">
      <w:pPr>
        <w:pageBreakBefore w:val="0"/>
        <w:kinsoku/>
        <w:overflowPunct/>
        <w:topLinePunct w:val="0"/>
        <w:bidi w:val="0"/>
        <w:snapToGrid/>
        <w:spacing w:before="191" w:line="560" w:lineRule="exact"/>
        <w:ind w:left="332" w:right="48" w:rightChars="23" w:firstLine="0"/>
        <w:jc w:val="left"/>
        <w:rPr>
          <w:rFonts w:hint="eastAsia" w:ascii="宋体" w:hAnsi="宋体" w:eastAsia="宋体" w:cs="宋体"/>
          <w:b/>
          <w:color w:val="auto"/>
          <w:sz w:val="28"/>
          <w:szCs w:val="28"/>
          <w:highlight w:val="none"/>
        </w:rPr>
      </w:pPr>
      <w:bookmarkStart w:id="165" w:name="6.3 环境保护"/>
      <w:bookmarkEnd w:id="165"/>
      <w:r>
        <w:rPr>
          <w:rFonts w:hint="eastAsia" w:ascii="宋体" w:hAnsi="宋体" w:eastAsia="宋体" w:cs="宋体"/>
          <w:b/>
          <w:color w:val="auto"/>
          <w:sz w:val="28"/>
          <w:szCs w:val="28"/>
          <w:highlight w:val="none"/>
        </w:rPr>
        <w:t>6.3 环境保护</w:t>
      </w:r>
    </w:p>
    <w:p w14:paraId="27202E9F">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因施工需要，经发包人批准，由承包人办理有关施工场地交通、环卫和施工噪音管理等手续，费用由承包人负责。</w:t>
      </w:r>
    </w:p>
    <w:p w14:paraId="6F111ED9">
      <w:pPr>
        <w:pStyle w:val="19"/>
        <w:pageBreakBefore w:val="0"/>
        <w:kinsoku/>
        <w:overflowPunct/>
        <w:topLinePunct w:val="0"/>
        <w:bidi w:val="0"/>
        <w:snapToGrid/>
        <w:spacing w:before="7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经过城市道路的施工车辆，必须按交警、城管、运输等部门相关规定执行。由于施工车辆造成的道路、环境等污染，其责任和费用均由承包人承担。</w:t>
      </w:r>
    </w:p>
    <w:p w14:paraId="2E6DA7D5">
      <w:pPr>
        <w:pageBreakBefore w:val="0"/>
        <w:numPr>
          <w:ilvl w:val="0"/>
          <w:numId w:val="0"/>
        </w:numPr>
        <w:tabs>
          <w:tab w:val="left" w:pos="667"/>
        </w:tabs>
        <w:kinsoku/>
        <w:overflowPunct/>
        <w:topLinePunct w:val="0"/>
        <w:bidi w:val="0"/>
        <w:snapToGrid/>
        <w:spacing w:before="0" w:line="560" w:lineRule="exact"/>
        <w:ind w:left="331" w:leftChars="0" w:right="48" w:rightChars="23"/>
        <w:jc w:val="left"/>
        <w:rPr>
          <w:rFonts w:hint="eastAsia" w:ascii="宋体" w:hAnsi="宋体" w:eastAsia="宋体" w:cs="宋体"/>
          <w:b/>
          <w:color w:val="auto"/>
          <w:sz w:val="28"/>
          <w:szCs w:val="28"/>
          <w:highlight w:val="none"/>
        </w:rPr>
      </w:pPr>
      <w:bookmarkStart w:id="166" w:name="7. 工期和进度"/>
      <w:bookmarkEnd w:id="166"/>
      <w:bookmarkStart w:id="167" w:name="7. 工期和进度"/>
      <w:bookmarkEnd w:id="167"/>
      <w:r>
        <w:rPr>
          <w:rFonts w:hint="eastAsia" w:ascii="宋体" w:hAnsi="宋体" w:eastAsia="宋体" w:cs="宋体"/>
          <w:b/>
          <w:color w:val="auto"/>
          <w:sz w:val="28"/>
          <w:szCs w:val="28"/>
          <w:highlight w:val="none"/>
          <w:lang w:val="en-US" w:eastAsia="zh-CN"/>
        </w:rPr>
        <w:t>7.</w:t>
      </w:r>
      <w:r>
        <w:rPr>
          <w:rFonts w:hint="eastAsia" w:ascii="宋体" w:hAnsi="宋体" w:eastAsia="宋体" w:cs="宋体"/>
          <w:b/>
          <w:color w:val="auto"/>
          <w:sz w:val="28"/>
          <w:szCs w:val="28"/>
          <w:highlight w:val="none"/>
        </w:rPr>
        <w:t>工期和进度</w:t>
      </w:r>
    </w:p>
    <w:p w14:paraId="1329491A">
      <w:pPr>
        <w:pageBreakBefore w:val="0"/>
        <w:numPr>
          <w:ilvl w:val="0"/>
          <w:numId w:val="0"/>
        </w:numPr>
        <w:tabs>
          <w:tab w:val="left" w:pos="777"/>
        </w:tabs>
        <w:kinsoku/>
        <w:overflowPunct/>
        <w:topLinePunct w:val="0"/>
        <w:bidi w:val="0"/>
        <w:snapToGrid/>
        <w:spacing w:before="0" w:line="560" w:lineRule="exact"/>
        <w:ind w:left="331" w:leftChars="0" w:right="48" w:rightChars="23"/>
        <w:jc w:val="left"/>
        <w:rPr>
          <w:rFonts w:hint="eastAsia" w:ascii="宋体" w:hAnsi="宋体" w:eastAsia="宋体" w:cs="宋体"/>
          <w:b/>
          <w:color w:val="auto"/>
          <w:sz w:val="28"/>
          <w:szCs w:val="28"/>
          <w:highlight w:val="none"/>
        </w:rPr>
      </w:pPr>
      <w:bookmarkStart w:id="168" w:name="7.1 施工组织设计"/>
      <w:bookmarkEnd w:id="168"/>
      <w:bookmarkStart w:id="169" w:name="7.1 施工组织设计"/>
      <w:bookmarkEnd w:id="169"/>
      <w:r>
        <w:rPr>
          <w:rFonts w:hint="eastAsia" w:ascii="宋体" w:hAnsi="宋体" w:eastAsia="宋体" w:cs="宋体"/>
          <w:b/>
          <w:color w:val="auto"/>
          <w:sz w:val="28"/>
          <w:szCs w:val="28"/>
          <w:highlight w:val="none"/>
          <w:lang w:val="en-US" w:eastAsia="zh-CN"/>
        </w:rPr>
        <w:t>7.1</w:t>
      </w:r>
      <w:r>
        <w:rPr>
          <w:rFonts w:hint="eastAsia" w:ascii="宋体" w:hAnsi="宋体" w:eastAsia="宋体" w:cs="宋体"/>
          <w:b/>
          <w:color w:val="auto"/>
          <w:sz w:val="28"/>
          <w:szCs w:val="28"/>
          <w:highlight w:val="none"/>
        </w:rPr>
        <w:t>施工组织设计</w:t>
      </w:r>
    </w:p>
    <w:p w14:paraId="739F8752">
      <w:pPr>
        <w:pStyle w:val="196"/>
        <w:pageBreakBefore w:val="0"/>
        <w:numPr>
          <w:ilvl w:val="0"/>
          <w:numId w:val="0"/>
        </w:numPr>
        <w:tabs>
          <w:tab w:val="left" w:pos="993"/>
          <w:tab w:val="left" w:pos="7374"/>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7.1.1</w:t>
      </w:r>
      <w:r>
        <w:rPr>
          <w:rFonts w:hint="eastAsia" w:ascii="宋体" w:hAnsi="宋体" w:eastAsia="宋体" w:cs="宋体"/>
          <w:color w:val="auto"/>
          <w:sz w:val="28"/>
          <w:szCs w:val="28"/>
          <w:highlight w:val="none"/>
        </w:rPr>
        <w:t>合同</w:t>
      </w:r>
      <w:r>
        <w:rPr>
          <w:rFonts w:hint="eastAsia" w:ascii="宋体" w:hAnsi="宋体" w:eastAsia="宋体" w:cs="宋体"/>
          <w:color w:val="auto"/>
          <w:spacing w:val="-3"/>
          <w:sz w:val="28"/>
          <w:szCs w:val="28"/>
          <w:highlight w:val="none"/>
        </w:rPr>
        <w:t>当</w:t>
      </w:r>
      <w:r>
        <w:rPr>
          <w:rFonts w:hint="eastAsia" w:ascii="宋体" w:hAnsi="宋体" w:eastAsia="宋体" w:cs="宋体"/>
          <w:color w:val="auto"/>
          <w:sz w:val="28"/>
          <w:szCs w:val="28"/>
          <w:highlight w:val="none"/>
        </w:rPr>
        <w:t>事人</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定的</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工组</w:t>
      </w:r>
      <w:r>
        <w:rPr>
          <w:rFonts w:hint="eastAsia" w:ascii="宋体" w:hAnsi="宋体" w:eastAsia="宋体" w:cs="宋体"/>
          <w:color w:val="auto"/>
          <w:spacing w:val="-3"/>
          <w:sz w:val="28"/>
          <w:szCs w:val="28"/>
          <w:highlight w:val="none"/>
        </w:rPr>
        <w:t>织</w:t>
      </w:r>
      <w:r>
        <w:rPr>
          <w:rFonts w:hint="eastAsia" w:ascii="宋体" w:hAnsi="宋体" w:eastAsia="宋体" w:cs="宋体"/>
          <w:color w:val="auto"/>
          <w:sz w:val="28"/>
          <w:szCs w:val="28"/>
          <w:highlight w:val="none"/>
        </w:rPr>
        <w:t>设计</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包括</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其他</w:t>
      </w:r>
      <w:r>
        <w:rPr>
          <w:rFonts w:hint="eastAsia" w:ascii="宋体" w:hAnsi="宋体" w:eastAsia="宋体" w:cs="宋体"/>
          <w:color w:val="auto"/>
          <w:spacing w:val="-3"/>
          <w:sz w:val="28"/>
          <w:szCs w:val="28"/>
          <w:highlight w:val="none"/>
        </w:rPr>
        <w:t>内</w:t>
      </w:r>
      <w:r>
        <w:rPr>
          <w:rFonts w:hint="eastAsia" w:ascii="宋体" w:hAnsi="宋体" w:eastAsia="宋体" w:cs="宋体"/>
          <w:color w:val="auto"/>
          <w:sz w:val="28"/>
          <w:szCs w:val="28"/>
          <w:highlight w:val="none"/>
        </w:rPr>
        <w:t>容：</w:t>
      </w:r>
      <w:r>
        <w:rPr>
          <w:rFonts w:hint="eastAsia" w:ascii="宋体" w:hAnsi="宋体" w:eastAsia="宋体" w:cs="宋体"/>
          <w:color w:val="auto"/>
          <w:sz w:val="28"/>
          <w:szCs w:val="28"/>
          <w:highlight w:val="none"/>
          <w:u w:val="single"/>
          <w:lang w:val="en-US" w:eastAsia="zh-CN"/>
        </w:rPr>
        <w:t>/</w:t>
      </w:r>
    </w:p>
    <w:p w14:paraId="54983629">
      <w:pPr>
        <w:pStyle w:val="196"/>
        <w:pageBreakBefore w:val="0"/>
        <w:numPr>
          <w:ilvl w:val="0"/>
          <w:numId w:val="0"/>
        </w:numPr>
        <w:tabs>
          <w:tab w:val="left" w:pos="993"/>
        </w:tabs>
        <w:kinsoku/>
        <w:overflowPunct/>
        <w:topLinePunct w:val="0"/>
        <w:bidi w:val="0"/>
        <w:snapToGrid/>
        <w:spacing w:before="1"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7.1.2</w:t>
      </w:r>
      <w:r>
        <w:rPr>
          <w:rFonts w:hint="eastAsia" w:ascii="宋体" w:hAnsi="宋体" w:eastAsia="宋体" w:cs="宋体"/>
          <w:color w:val="auto"/>
          <w:spacing w:val="-3"/>
          <w:sz w:val="28"/>
          <w:szCs w:val="28"/>
          <w:highlight w:val="none"/>
        </w:rPr>
        <w:t>施工组织设计的提交和修改</w:t>
      </w:r>
    </w:p>
    <w:p w14:paraId="1D22CCCF">
      <w:pPr>
        <w:pStyle w:val="19"/>
        <w:pageBreakBefore w:val="0"/>
        <w:tabs>
          <w:tab w:val="left" w:pos="63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详细</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工组</w:t>
      </w:r>
      <w:r>
        <w:rPr>
          <w:rFonts w:hint="eastAsia" w:ascii="宋体" w:hAnsi="宋体" w:eastAsia="宋体" w:cs="宋体"/>
          <w:color w:val="auto"/>
          <w:spacing w:val="-3"/>
          <w:sz w:val="28"/>
          <w:szCs w:val="28"/>
          <w:highlight w:val="none"/>
        </w:rPr>
        <w:t>织</w:t>
      </w:r>
      <w:r>
        <w:rPr>
          <w:rFonts w:hint="eastAsia" w:ascii="宋体" w:hAnsi="宋体" w:eastAsia="宋体" w:cs="宋体"/>
          <w:color w:val="auto"/>
          <w:sz w:val="28"/>
          <w:szCs w:val="28"/>
          <w:highlight w:val="none"/>
        </w:rPr>
        <w:t>设计</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期限</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约定：</w:t>
      </w:r>
      <w:r>
        <w:rPr>
          <w:rFonts w:hint="eastAsia" w:ascii="宋体" w:hAnsi="宋体" w:eastAsia="宋体" w:cs="宋体"/>
          <w:color w:val="auto"/>
          <w:sz w:val="28"/>
          <w:szCs w:val="28"/>
          <w:highlight w:val="none"/>
          <w:u w:val="single"/>
          <w:lang w:val="en-US" w:eastAsia="zh-CN"/>
        </w:rPr>
        <w:t>收到中标通知书后三天内。</w:t>
      </w:r>
    </w:p>
    <w:p w14:paraId="5E59A7D4">
      <w:pPr>
        <w:pStyle w:val="19"/>
        <w:pageBreakBefore w:val="0"/>
        <w:tabs>
          <w:tab w:val="left" w:pos="792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人和</w:t>
      </w:r>
      <w:r>
        <w:rPr>
          <w:rFonts w:hint="eastAsia" w:ascii="宋体" w:hAnsi="宋体" w:eastAsia="宋体" w:cs="宋体"/>
          <w:color w:val="auto"/>
          <w:spacing w:val="-3"/>
          <w:sz w:val="28"/>
          <w:szCs w:val="28"/>
          <w:highlight w:val="none"/>
        </w:rPr>
        <w:t>监</w:t>
      </w:r>
      <w:r>
        <w:rPr>
          <w:rFonts w:hint="eastAsia" w:ascii="宋体" w:hAnsi="宋体" w:eastAsia="宋体" w:cs="宋体"/>
          <w:color w:val="auto"/>
          <w:sz w:val="28"/>
          <w:szCs w:val="28"/>
          <w:highlight w:val="none"/>
        </w:rPr>
        <w:t>理人</w:t>
      </w:r>
      <w:r>
        <w:rPr>
          <w:rFonts w:hint="eastAsia" w:ascii="宋体" w:hAnsi="宋体" w:eastAsia="宋体" w:cs="宋体"/>
          <w:color w:val="auto"/>
          <w:spacing w:val="-3"/>
          <w:sz w:val="28"/>
          <w:szCs w:val="28"/>
          <w:highlight w:val="none"/>
        </w:rPr>
        <w:t>在</w:t>
      </w:r>
      <w:r>
        <w:rPr>
          <w:rFonts w:hint="eastAsia" w:ascii="宋体" w:hAnsi="宋体" w:eastAsia="宋体" w:cs="宋体"/>
          <w:color w:val="auto"/>
          <w:sz w:val="28"/>
          <w:szCs w:val="28"/>
          <w:highlight w:val="none"/>
        </w:rPr>
        <w:t>收到</w:t>
      </w:r>
      <w:r>
        <w:rPr>
          <w:rFonts w:hint="eastAsia" w:ascii="宋体" w:hAnsi="宋体" w:eastAsia="宋体" w:cs="宋体"/>
          <w:color w:val="auto"/>
          <w:spacing w:val="-3"/>
          <w:sz w:val="28"/>
          <w:szCs w:val="28"/>
          <w:highlight w:val="none"/>
        </w:rPr>
        <w:t>详</w:t>
      </w:r>
      <w:r>
        <w:rPr>
          <w:rFonts w:hint="eastAsia" w:ascii="宋体" w:hAnsi="宋体" w:eastAsia="宋体" w:cs="宋体"/>
          <w:color w:val="auto"/>
          <w:sz w:val="28"/>
          <w:szCs w:val="28"/>
          <w:highlight w:val="none"/>
        </w:rPr>
        <w:t>细的</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工组</w:t>
      </w:r>
      <w:r>
        <w:rPr>
          <w:rFonts w:hint="eastAsia" w:ascii="宋体" w:hAnsi="宋体" w:eastAsia="宋体" w:cs="宋体"/>
          <w:color w:val="auto"/>
          <w:spacing w:val="-3"/>
          <w:sz w:val="28"/>
          <w:szCs w:val="28"/>
          <w:highlight w:val="none"/>
        </w:rPr>
        <w:t>织</w:t>
      </w:r>
      <w:r>
        <w:rPr>
          <w:rFonts w:hint="eastAsia" w:ascii="宋体" w:hAnsi="宋体" w:eastAsia="宋体" w:cs="宋体"/>
          <w:color w:val="auto"/>
          <w:sz w:val="28"/>
          <w:szCs w:val="28"/>
          <w:highlight w:val="none"/>
        </w:rPr>
        <w:t>设计</w:t>
      </w:r>
      <w:r>
        <w:rPr>
          <w:rFonts w:hint="eastAsia" w:ascii="宋体" w:hAnsi="宋体" w:eastAsia="宋体" w:cs="宋体"/>
          <w:color w:val="auto"/>
          <w:spacing w:val="-3"/>
          <w:sz w:val="28"/>
          <w:szCs w:val="28"/>
          <w:highlight w:val="none"/>
        </w:rPr>
        <w:t>后</w:t>
      </w:r>
      <w:r>
        <w:rPr>
          <w:rFonts w:hint="eastAsia" w:ascii="宋体" w:hAnsi="宋体" w:eastAsia="宋体" w:cs="宋体"/>
          <w:color w:val="auto"/>
          <w:sz w:val="28"/>
          <w:szCs w:val="28"/>
          <w:highlight w:val="none"/>
        </w:rPr>
        <w:t>确认</w:t>
      </w:r>
      <w:r>
        <w:rPr>
          <w:rFonts w:hint="eastAsia" w:ascii="宋体" w:hAnsi="宋体" w:eastAsia="宋体" w:cs="宋体"/>
          <w:color w:val="auto"/>
          <w:spacing w:val="-3"/>
          <w:sz w:val="28"/>
          <w:szCs w:val="28"/>
          <w:highlight w:val="none"/>
        </w:rPr>
        <w:t>或</w:t>
      </w:r>
      <w:r>
        <w:rPr>
          <w:rFonts w:hint="eastAsia" w:ascii="宋体" w:hAnsi="宋体" w:eastAsia="宋体" w:cs="宋体"/>
          <w:color w:val="auto"/>
          <w:sz w:val="28"/>
          <w:szCs w:val="28"/>
          <w:highlight w:val="none"/>
        </w:rPr>
        <w:t>提出</w:t>
      </w:r>
      <w:r>
        <w:rPr>
          <w:rFonts w:hint="eastAsia" w:ascii="宋体" w:hAnsi="宋体" w:eastAsia="宋体" w:cs="宋体"/>
          <w:color w:val="auto"/>
          <w:spacing w:val="-3"/>
          <w:sz w:val="28"/>
          <w:szCs w:val="28"/>
          <w:highlight w:val="none"/>
        </w:rPr>
        <w:t>修</w:t>
      </w:r>
      <w:r>
        <w:rPr>
          <w:rFonts w:hint="eastAsia" w:ascii="宋体" w:hAnsi="宋体" w:eastAsia="宋体" w:cs="宋体"/>
          <w:color w:val="auto"/>
          <w:sz w:val="28"/>
          <w:szCs w:val="28"/>
          <w:highlight w:val="none"/>
        </w:rPr>
        <w:t>改意</w:t>
      </w:r>
      <w:r>
        <w:rPr>
          <w:rFonts w:hint="eastAsia" w:ascii="宋体" w:hAnsi="宋体" w:eastAsia="宋体" w:cs="宋体"/>
          <w:color w:val="auto"/>
          <w:spacing w:val="-3"/>
          <w:sz w:val="28"/>
          <w:szCs w:val="28"/>
          <w:highlight w:val="none"/>
        </w:rPr>
        <w:t>见</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2F5698FB">
      <w:pPr>
        <w:pageBreakBefore w:val="0"/>
        <w:numPr>
          <w:ilvl w:val="0"/>
          <w:numId w:val="0"/>
        </w:numPr>
        <w:tabs>
          <w:tab w:val="left" w:pos="777"/>
        </w:tabs>
        <w:kinsoku/>
        <w:overflowPunct/>
        <w:topLinePunct w:val="0"/>
        <w:bidi w:val="0"/>
        <w:snapToGrid/>
        <w:spacing w:before="190" w:line="560" w:lineRule="exact"/>
        <w:ind w:left="331" w:leftChars="0" w:right="48" w:rightChars="23"/>
        <w:jc w:val="left"/>
        <w:rPr>
          <w:rFonts w:hint="eastAsia" w:ascii="宋体" w:hAnsi="宋体" w:eastAsia="宋体" w:cs="宋体"/>
          <w:b/>
          <w:color w:val="auto"/>
          <w:sz w:val="28"/>
          <w:szCs w:val="28"/>
          <w:highlight w:val="none"/>
        </w:rPr>
      </w:pPr>
      <w:bookmarkStart w:id="170" w:name="7.2 施工进度计划"/>
      <w:bookmarkEnd w:id="170"/>
      <w:bookmarkStart w:id="171" w:name="7.2 施工进度计划"/>
      <w:bookmarkEnd w:id="171"/>
      <w:r>
        <w:rPr>
          <w:rFonts w:hint="eastAsia" w:ascii="宋体" w:hAnsi="宋体" w:eastAsia="宋体" w:cs="宋体"/>
          <w:b/>
          <w:color w:val="auto"/>
          <w:sz w:val="28"/>
          <w:szCs w:val="28"/>
          <w:highlight w:val="none"/>
          <w:lang w:val="en-US" w:eastAsia="zh-CN"/>
        </w:rPr>
        <w:t>7.2</w:t>
      </w:r>
      <w:r>
        <w:rPr>
          <w:rFonts w:hint="eastAsia" w:ascii="宋体" w:hAnsi="宋体" w:eastAsia="宋体" w:cs="宋体"/>
          <w:b/>
          <w:color w:val="auto"/>
          <w:sz w:val="28"/>
          <w:szCs w:val="28"/>
          <w:highlight w:val="none"/>
        </w:rPr>
        <w:t>施工进度计划</w:t>
      </w:r>
    </w:p>
    <w:p w14:paraId="2124E01B">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7.2.2 施工进度计划的修订</w:t>
      </w:r>
    </w:p>
    <w:p w14:paraId="02272443">
      <w:pPr>
        <w:pStyle w:val="19"/>
        <w:pageBreakBefore w:val="0"/>
        <w:tabs>
          <w:tab w:val="left" w:pos="85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人和</w:t>
      </w:r>
      <w:r>
        <w:rPr>
          <w:rFonts w:hint="eastAsia" w:ascii="宋体" w:hAnsi="宋体" w:eastAsia="宋体" w:cs="宋体"/>
          <w:color w:val="auto"/>
          <w:spacing w:val="-3"/>
          <w:sz w:val="28"/>
          <w:szCs w:val="28"/>
          <w:highlight w:val="none"/>
        </w:rPr>
        <w:t>监</w:t>
      </w:r>
      <w:r>
        <w:rPr>
          <w:rFonts w:hint="eastAsia" w:ascii="宋体" w:hAnsi="宋体" w:eastAsia="宋体" w:cs="宋体"/>
          <w:color w:val="auto"/>
          <w:sz w:val="28"/>
          <w:szCs w:val="28"/>
          <w:highlight w:val="none"/>
        </w:rPr>
        <w:t>理人</w:t>
      </w:r>
      <w:r>
        <w:rPr>
          <w:rFonts w:hint="eastAsia" w:ascii="宋体" w:hAnsi="宋体" w:eastAsia="宋体" w:cs="宋体"/>
          <w:color w:val="auto"/>
          <w:spacing w:val="-3"/>
          <w:sz w:val="28"/>
          <w:szCs w:val="28"/>
          <w:highlight w:val="none"/>
        </w:rPr>
        <w:t>在</w:t>
      </w:r>
      <w:r>
        <w:rPr>
          <w:rFonts w:hint="eastAsia" w:ascii="宋体" w:hAnsi="宋体" w:eastAsia="宋体" w:cs="宋体"/>
          <w:color w:val="auto"/>
          <w:sz w:val="28"/>
          <w:szCs w:val="28"/>
          <w:highlight w:val="none"/>
        </w:rPr>
        <w:t>收到</w:t>
      </w:r>
      <w:r>
        <w:rPr>
          <w:rFonts w:hint="eastAsia" w:ascii="宋体" w:hAnsi="宋体" w:eastAsia="宋体" w:cs="宋体"/>
          <w:color w:val="auto"/>
          <w:spacing w:val="-3"/>
          <w:sz w:val="28"/>
          <w:szCs w:val="28"/>
          <w:highlight w:val="none"/>
        </w:rPr>
        <w:t>修</w:t>
      </w:r>
      <w:r>
        <w:rPr>
          <w:rFonts w:hint="eastAsia" w:ascii="宋体" w:hAnsi="宋体" w:eastAsia="宋体" w:cs="宋体"/>
          <w:color w:val="auto"/>
          <w:sz w:val="28"/>
          <w:szCs w:val="28"/>
          <w:highlight w:val="none"/>
        </w:rPr>
        <w:t>订的</w:t>
      </w:r>
      <w:r>
        <w:rPr>
          <w:rFonts w:hint="eastAsia" w:ascii="宋体" w:hAnsi="宋体" w:eastAsia="宋体" w:cs="宋体"/>
          <w:color w:val="auto"/>
          <w:spacing w:val="-3"/>
          <w:sz w:val="28"/>
          <w:szCs w:val="28"/>
          <w:highlight w:val="none"/>
        </w:rPr>
        <w:t>施</w:t>
      </w:r>
      <w:r>
        <w:rPr>
          <w:rFonts w:hint="eastAsia" w:ascii="宋体" w:hAnsi="宋体" w:eastAsia="宋体" w:cs="宋体"/>
          <w:color w:val="auto"/>
          <w:sz w:val="28"/>
          <w:szCs w:val="28"/>
          <w:highlight w:val="none"/>
        </w:rPr>
        <w:t>工进</w:t>
      </w:r>
      <w:r>
        <w:rPr>
          <w:rFonts w:hint="eastAsia" w:ascii="宋体" w:hAnsi="宋体" w:eastAsia="宋体" w:cs="宋体"/>
          <w:color w:val="auto"/>
          <w:spacing w:val="-3"/>
          <w:sz w:val="28"/>
          <w:szCs w:val="28"/>
          <w:highlight w:val="none"/>
        </w:rPr>
        <w:t>度</w:t>
      </w:r>
      <w:r>
        <w:rPr>
          <w:rFonts w:hint="eastAsia" w:ascii="宋体" w:hAnsi="宋体" w:eastAsia="宋体" w:cs="宋体"/>
          <w:color w:val="auto"/>
          <w:sz w:val="28"/>
          <w:szCs w:val="28"/>
          <w:highlight w:val="none"/>
        </w:rPr>
        <w:t>计划</w:t>
      </w:r>
      <w:r>
        <w:rPr>
          <w:rFonts w:hint="eastAsia" w:ascii="宋体" w:hAnsi="宋体" w:eastAsia="宋体" w:cs="宋体"/>
          <w:color w:val="auto"/>
          <w:spacing w:val="-3"/>
          <w:sz w:val="28"/>
          <w:szCs w:val="28"/>
          <w:highlight w:val="none"/>
        </w:rPr>
        <w:t>后</w:t>
      </w:r>
      <w:r>
        <w:rPr>
          <w:rFonts w:hint="eastAsia" w:ascii="宋体" w:hAnsi="宋体" w:eastAsia="宋体" w:cs="宋体"/>
          <w:color w:val="auto"/>
          <w:sz w:val="28"/>
          <w:szCs w:val="28"/>
          <w:highlight w:val="none"/>
        </w:rPr>
        <w:t>确认</w:t>
      </w:r>
      <w:r>
        <w:rPr>
          <w:rFonts w:hint="eastAsia" w:ascii="宋体" w:hAnsi="宋体" w:eastAsia="宋体" w:cs="宋体"/>
          <w:color w:val="auto"/>
          <w:spacing w:val="-3"/>
          <w:sz w:val="28"/>
          <w:szCs w:val="28"/>
          <w:highlight w:val="none"/>
        </w:rPr>
        <w:t>或</w:t>
      </w:r>
      <w:r>
        <w:rPr>
          <w:rFonts w:hint="eastAsia" w:ascii="宋体" w:hAnsi="宋体" w:eastAsia="宋体" w:cs="宋体"/>
          <w:color w:val="auto"/>
          <w:sz w:val="28"/>
          <w:szCs w:val="28"/>
          <w:highlight w:val="none"/>
        </w:rPr>
        <w:t>提出</w:t>
      </w:r>
      <w:r>
        <w:rPr>
          <w:rFonts w:hint="eastAsia" w:ascii="宋体" w:hAnsi="宋体" w:eastAsia="宋体" w:cs="宋体"/>
          <w:color w:val="auto"/>
          <w:spacing w:val="-3"/>
          <w:sz w:val="28"/>
          <w:szCs w:val="28"/>
          <w:highlight w:val="none"/>
        </w:rPr>
        <w:t>修</w:t>
      </w:r>
      <w:r>
        <w:rPr>
          <w:rFonts w:hint="eastAsia" w:ascii="宋体" w:hAnsi="宋体" w:eastAsia="宋体" w:cs="宋体"/>
          <w:color w:val="auto"/>
          <w:sz w:val="28"/>
          <w:szCs w:val="28"/>
          <w:highlight w:val="none"/>
        </w:rPr>
        <w:t>改意</w:t>
      </w:r>
      <w:r>
        <w:rPr>
          <w:rFonts w:hint="eastAsia" w:ascii="宋体" w:hAnsi="宋体" w:eastAsia="宋体" w:cs="宋体"/>
          <w:color w:val="auto"/>
          <w:spacing w:val="-3"/>
          <w:sz w:val="28"/>
          <w:szCs w:val="28"/>
          <w:highlight w:val="none"/>
        </w:rPr>
        <w:t>见</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462A3FFD">
      <w:pPr>
        <w:pageBreakBefore w:val="0"/>
        <w:numPr>
          <w:ilvl w:val="0"/>
          <w:numId w:val="0"/>
        </w:numPr>
        <w:tabs>
          <w:tab w:val="left" w:pos="777"/>
        </w:tabs>
        <w:kinsoku/>
        <w:overflowPunct/>
        <w:topLinePunct w:val="0"/>
        <w:bidi w:val="0"/>
        <w:snapToGrid/>
        <w:spacing w:before="191" w:line="560" w:lineRule="exact"/>
        <w:ind w:left="331" w:leftChars="0" w:right="48" w:rightChars="23"/>
        <w:jc w:val="left"/>
        <w:rPr>
          <w:rFonts w:hint="eastAsia" w:ascii="宋体" w:hAnsi="宋体" w:eastAsia="宋体" w:cs="宋体"/>
          <w:b/>
          <w:color w:val="auto"/>
          <w:sz w:val="28"/>
          <w:szCs w:val="28"/>
          <w:highlight w:val="none"/>
        </w:rPr>
      </w:pPr>
      <w:bookmarkStart w:id="172" w:name="7.3 开工"/>
      <w:bookmarkEnd w:id="172"/>
      <w:bookmarkStart w:id="173" w:name="7.3 开工"/>
      <w:bookmarkEnd w:id="173"/>
      <w:r>
        <w:rPr>
          <w:rFonts w:hint="eastAsia" w:ascii="宋体" w:hAnsi="宋体" w:eastAsia="宋体" w:cs="宋体"/>
          <w:b/>
          <w:color w:val="auto"/>
          <w:sz w:val="28"/>
          <w:szCs w:val="28"/>
          <w:highlight w:val="none"/>
          <w:lang w:val="en-US" w:eastAsia="zh-CN"/>
        </w:rPr>
        <w:t>7.3</w:t>
      </w:r>
      <w:r>
        <w:rPr>
          <w:rFonts w:hint="eastAsia" w:ascii="宋体" w:hAnsi="宋体" w:eastAsia="宋体" w:cs="宋体"/>
          <w:b/>
          <w:color w:val="auto"/>
          <w:sz w:val="28"/>
          <w:szCs w:val="28"/>
          <w:highlight w:val="none"/>
        </w:rPr>
        <w:t>开工</w:t>
      </w:r>
    </w:p>
    <w:p w14:paraId="52131C31">
      <w:pPr>
        <w:pStyle w:val="196"/>
        <w:pageBreakBefore w:val="0"/>
        <w:numPr>
          <w:ilvl w:val="0"/>
          <w:numId w:val="0"/>
        </w:numPr>
        <w:tabs>
          <w:tab w:val="left" w:pos="993"/>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7.3.1</w:t>
      </w:r>
      <w:r>
        <w:rPr>
          <w:rFonts w:hint="eastAsia" w:ascii="宋体" w:hAnsi="宋体" w:eastAsia="宋体" w:cs="宋体"/>
          <w:color w:val="auto"/>
          <w:spacing w:val="-2"/>
          <w:sz w:val="28"/>
          <w:szCs w:val="28"/>
          <w:highlight w:val="none"/>
        </w:rPr>
        <w:t>开工准备</w:t>
      </w:r>
    </w:p>
    <w:p w14:paraId="57B5A4C0">
      <w:pPr>
        <w:pStyle w:val="19"/>
        <w:pageBreakBefore w:val="0"/>
        <w:tabs>
          <w:tab w:val="left" w:pos="583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提交工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开工</w:t>
      </w:r>
      <w:r>
        <w:rPr>
          <w:rFonts w:hint="eastAsia" w:ascii="宋体" w:hAnsi="宋体" w:eastAsia="宋体" w:cs="宋体"/>
          <w:color w:val="auto"/>
          <w:spacing w:val="-3"/>
          <w:sz w:val="28"/>
          <w:szCs w:val="28"/>
          <w:highlight w:val="none"/>
        </w:rPr>
        <w:t>报</w:t>
      </w:r>
      <w:r>
        <w:rPr>
          <w:rFonts w:hint="eastAsia" w:ascii="宋体" w:hAnsi="宋体" w:eastAsia="宋体" w:cs="宋体"/>
          <w:color w:val="auto"/>
          <w:sz w:val="28"/>
          <w:szCs w:val="28"/>
          <w:highlight w:val="none"/>
        </w:rPr>
        <w:t>审表</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期限</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lang w:val="en-US" w:eastAsia="zh-CN"/>
        </w:rPr>
        <w:t>执行通用条款。</w:t>
      </w:r>
    </w:p>
    <w:p w14:paraId="5BF79EAD">
      <w:pPr>
        <w:pStyle w:val="19"/>
        <w:pageBreakBefore w:val="0"/>
        <w:tabs>
          <w:tab w:val="left" w:pos="583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应完</w:t>
      </w:r>
      <w:r>
        <w:rPr>
          <w:rFonts w:hint="eastAsia" w:ascii="宋体" w:hAnsi="宋体" w:eastAsia="宋体" w:cs="宋体"/>
          <w:color w:val="auto"/>
          <w:spacing w:val="-3"/>
          <w:sz w:val="28"/>
          <w:szCs w:val="28"/>
          <w:highlight w:val="none"/>
        </w:rPr>
        <w:t>成</w:t>
      </w:r>
      <w:r>
        <w:rPr>
          <w:rFonts w:hint="eastAsia" w:ascii="宋体" w:hAnsi="宋体" w:eastAsia="宋体" w:cs="宋体"/>
          <w:color w:val="auto"/>
          <w:sz w:val="28"/>
          <w:szCs w:val="28"/>
          <w:highlight w:val="none"/>
        </w:rPr>
        <w:t>的其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开工</w:t>
      </w:r>
      <w:r>
        <w:rPr>
          <w:rFonts w:hint="eastAsia" w:ascii="宋体" w:hAnsi="宋体" w:eastAsia="宋体" w:cs="宋体"/>
          <w:color w:val="auto"/>
          <w:spacing w:val="-3"/>
          <w:sz w:val="28"/>
          <w:szCs w:val="28"/>
          <w:highlight w:val="none"/>
        </w:rPr>
        <w:t>准</w:t>
      </w:r>
      <w:r>
        <w:rPr>
          <w:rFonts w:hint="eastAsia" w:ascii="宋体" w:hAnsi="宋体" w:eastAsia="宋体" w:cs="宋体"/>
          <w:color w:val="auto"/>
          <w:sz w:val="28"/>
          <w:szCs w:val="28"/>
          <w:highlight w:val="none"/>
        </w:rPr>
        <w:t>备工</w:t>
      </w:r>
      <w:r>
        <w:rPr>
          <w:rFonts w:hint="eastAsia" w:ascii="宋体" w:hAnsi="宋体" w:eastAsia="宋体" w:cs="宋体"/>
          <w:color w:val="auto"/>
          <w:spacing w:val="-3"/>
          <w:sz w:val="28"/>
          <w:szCs w:val="28"/>
          <w:highlight w:val="none"/>
        </w:rPr>
        <w:t>作</w:t>
      </w:r>
      <w:r>
        <w:rPr>
          <w:rFonts w:hint="eastAsia" w:ascii="宋体" w:hAnsi="宋体" w:eastAsia="宋体" w:cs="宋体"/>
          <w:color w:val="auto"/>
          <w:sz w:val="28"/>
          <w:szCs w:val="28"/>
          <w:highlight w:val="none"/>
        </w:rPr>
        <w:t>及期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u w:val="single"/>
          <w:lang w:val="en-US" w:eastAsia="zh-CN"/>
        </w:rPr>
        <w:t>执行通用条款。</w:t>
      </w:r>
    </w:p>
    <w:p w14:paraId="287C78D2">
      <w:pPr>
        <w:pStyle w:val="19"/>
        <w:pageBreakBefore w:val="0"/>
        <w:tabs>
          <w:tab w:val="left" w:pos="583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应完</w:t>
      </w:r>
      <w:r>
        <w:rPr>
          <w:rFonts w:hint="eastAsia" w:ascii="宋体" w:hAnsi="宋体" w:eastAsia="宋体" w:cs="宋体"/>
          <w:color w:val="auto"/>
          <w:spacing w:val="-3"/>
          <w:sz w:val="28"/>
          <w:szCs w:val="28"/>
          <w:highlight w:val="none"/>
        </w:rPr>
        <w:t>成</w:t>
      </w:r>
      <w:r>
        <w:rPr>
          <w:rFonts w:hint="eastAsia" w:ascii="宋体" w:hAnsi="宋体" w:eastAsia="宋体" w:cs="宋体"/>
          <w:color w:val="auto"/>
          <w:sz w:val="28"/>
          <w:szCs w:val="28"/>
          <w:highlight w:val="none"/>
        </w:rPr>
        <w:t>的其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开工</w:t>
      </w:r>
      <w:r>
        <w:rPr>
          <w:rFonts w:hint="eastAsia" w:ascii="宋体" w:hAnsi="宋体" w:eastAsia="宋体" w:cs="宋体"/>
          <w:color w:val="auto"/>
          <w:spacing w:val="-3"/>
          <w:sz w:val="28"/>
          <w:szCs w:val="28"/>
          <w:highlight w:val="none"/>
        </w:rPr>
        <w:t>准</w:t>
      </w:r>
      <w:r>
        <w:rPr>
          <w:rFonts w:hint="eastAsia" w:ascii="宋体" w:hAnsi="宋体" w:eastAsia="宋体" w:cs="宋体"/>
          <w:color w:val="auto"/>
          <w:sz w:val="28"/>
          <w:szCs w:val="28"/>
          <w:highlight w:val="none"/>
        </w:rPr>
        <w:t>备工</w:t>
      </w:r>
      <w:r>
        <w:rPr>
          <w:rFonts w:hint="eastAsia" w:ascii="宋体" w:hAnsi="宋体" w:eastAsia="宋体" w:cs="宋体"/>
          <w:color w:val="auto"/>
          <w:spacing w:val="-3"/>
          <w:sz w:val="28"/>
          <w:szCs w:val="28"/>
          <w:highlight w:val="none"/>
        </w:rPr>
        <w:t>作</w:t>
      </w:r>
      <w:r>
        <w:rPr>
          <w:rFonts w:hint="eastAsia" w:ascii="宋体" w:hAnsi="宋体" w:eastAsia="宋体" w:cs="宋体"/>
          <w:color w:val="auto"/>
          <w:sz w:val="28"/>
          <w:szCs w:val="28"/>
          <w:highlight w:val="none"/>
        </w:rPr>
        <w:t>及期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u w:val="single"/>
          <w:lang w:val="en-US" w:eastAsia="zh-CN"/>
        </w:rPr>
        <w:t>执行通用条款。</w:t>
      </w:r>
    </w:p>
    <w:p w14:paraId="68517F1A">
      <w:pPr>
        <w:pStyle w:val="196"/>
        <w:pageBreakBefore w:val="0"/>
        <w:numPr>
          <w:ilvl w:val="0"/>
          <w:numId w:val="0"/>
        </w:numPr>
        <w:tabs>
          <w:tab w:val="left" w:pos="993"/>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7.3.2</w:t>
      </w:r>
      <w:r>
        <w:rPr>
          <w:rFonts w:hint="eastAsia" w:ascii="宋体" w:hAnsi="宋体" w:eastAsia="宋体" w:cs="宋体"/>
          <w:color w:val="auto"/>
          <w:spacing w:val="-2"/>
          <w:sz w:val="28"/>
          <w:szCs w:val="28"/>
          <w:highlight w:val="none"/>
        </w:rPr>
        <w:t>开工通知</w:t>
      </w:r>
    </w:p>
    <w:p w14:paraId="6BD2DC6E">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5"/>
          <w:sz w:val="28"/>
          <w:szCs w:val="28"/>
          <w:highlight w:val="none"/>
        </w:rPr>
        <w:t>因发包人原因造成监理人未能在计划开工日期之日起天内发出开工通知的，承包人有权提出价格调整</w:t>
      </w:r>
      <w:r>
        <w:rPr>
          <w:rFonts w:hint="eastAsia" w:ascii="宋体" w:hAnsi="宋体" w:eastAsia="宋体" w:cs="宋体"/>
          <w:color w:val="auto"/>
          <w:spacing w:val="-3"/>
          <w:sz w:val="28"/>
          <w:szCs w:val="28"/>
          <w:highlight w:val="none"/>
        </w:rPr>
        <w:t>要求，或者解除合同。</w:t>
      </w:r>
    </w:p>
    <w:p w14:paraId="66C4D8F8">
      <w:pPr>
        <w:pageBreakBefore w:val="0"/>
        <w:numPr>
          <w:ilvl w:val="0"/>
          <w:numId w:val="0"/>
        </w:numPr>
        <w:tabs>
          <w:tab w:val="left" w:pos="777"/>
        </w:tabs>
        <w:kinsoku/>
        <w:overflowPunct/>
        <w:topLinePunct w:val="0"/>
        <w:bidi w:val="0"/>
        <w:snapToGrid/>
        <w:spacing w:before="50" w:line="560" w:lineRule="exact"/>
        <w:ind w:left="331" w:leftChars="0" w:right="48" w:rightChars="23"/>
        <w:jc w:val="left"/>
        <w:rPr>
          <w:rFonts w:hint="eastAsia" w:ascii="宋体" w:hAnsi="宋体" w:eastAsia="宋体" w:cs="宋体"/>
          <w:b/>
          <w:color w:val="auto"/>
          <w:sz w:val="28"/>
          <w:szCs w:val="28"/>
          <w:highlight w:val="none"/>
        </w:rPr>
      </w:pPr>
      <w:bookmarkStart w:id="174" w:name="7.4 测量放线"/>
      <w:bookmarkEnd w:id="174"/>
      <w:bookmarkStart w:id="175" w:name="7.4 测量放线"/>
      <w:bookmarkEnd w:id="175"/>
      <w:r>
        <w:rPr>
          <w:rFonts w:hint="eastAsia" w:ascii="宋体" w:hAnsi="宋体" w:eastAsia="宋体" w:cs="宋体"/>
          <w:b/>
          <w:color w:val="auto"/>
          <w:sz w:val="28"/>
          <w:szCs w:val="28"/>
          <w:highlight w:val="none"/>
          <w:lang w:val="en-US" w:eastAsia="zh-CN"/>
        </w:rPr>
        <w:t>7.4</w:t>
      </w:r>
      <w:r>
        <w:rPr>
          <w:rFonts w:hint="eastAsia" w:ascii="宋体" w:hAnsi="宋体" w:eastAsia="宋体" w:cs="宋体"/>
          <w:b/>
          <w:color w:val="auto"/>
          <w:sz w:val="28"/>
          <w:szCs w:val="28"/>
          <w:highlight w:val="none"/>
        </w:rPr>
        <w:t>测量放线</w:t>
      </w:r>
    </w:p>
    <w:p w14:paraId="289F4646">
      <w:pPr>
        <w:pStyle w:val="196"/>
        <w:pageBreakBefore w:val="0"/>
        <w:numPr>
          <w:ilvl w:val="0"/>
          <w:numId w:val="0"/>
        </w:numPr>
        <w:tabs>
          <w:tab w:val="left" w:pos="940"/>
        </w:tabs>
        <w:kinsoku/>
        <w:overflowPunct/>
        <w:topLinePunct w:val="0"/>
        <w:bidi w:val="0"/>
        <w:snapToGrid/>
        <w:spacing w:before="0" w:after="0" w:line="560" w:lineRule="exact"/>
        <w:ind w:left="332"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7.4.1</w:t>
      </w:r>
      <w:r>
        <w:rPr>
          <w:rFonts w:hint="eastAsia" w:ascii="宋体" w:hAnsi="宋体" w:eastAsia="宋体" w:cs="宋体"/>
          <w:color w:val="auto"/>
          <w:spacing w:val="-3"/>
          <w:sz w:val="28"/>
          <w:szCs w:val="28"/>
          <w:highlight w:val="none"/>
        </w:rPr>
        <w:t>发包人通过监理人向承包人提供测量基准点、基准线和水准点及其书面资料的期限：</w:t>
      </w:r>
      <w:r>
        <w:rPr>
          <w:rFonts w:hint="eastAsia" w:ascii="宋体" w:hAnsi="宋体" w:eastAsia="宋体" w:cs="宋体"/>
          <w:color w:val="auto"/>
          <w:spacing w:val="-3"/>
          <w:sz w:val="28"/>
          <w:szCs w:val="28"/>
          <w:highlight w:val="none"/>
          <w:u w:val="single"/>
          <w:lang w:val="en-US" w:eastAsia="zh-CN"/>
        </w:rPr>
        <w:t>开工前7天内。</w:t>
      </w:r>
    </w:p>
    <w:p w14:paraId="76E00463">
      <w:pPr>
        <w:pageBreakBefore w:val="0"/>
        <w:numPr>
          <w:ilvl w:val="0"/>
          <w:numId w:val="0"/>
        </w:numPr>
        <w:tabs>
          <w:tab w:val="left" w:pos="777"/>
        </w:tabs>
        <w:kinsoku/>
        <w:overflowPunct/>
        <w:topLinePunct w:val="0"/>
        <w:bidi w:val="0"/>
        <w:snapToGrid/>
        <w:spacing w:before="191" w:line="560" w:lineRule="exact"/>
        <w:ind w:left="331" w:leftChars="0" w:right="48" w:rightChars="23"/>
        <w:jc w:val="left"/>
        <w:rPr>
          <w:rFonts w:hint="eastAsia" w:ascii="宋体" w:hAnsi="宋体" w:eastAsia="宋体" w:cs="宋体"/>
          <w:b/>
          <w:color w:val="auto"/>
          <w:sz w:val="28"/>
          <w:szCs w:val="28"/>
          <w:highlight w:val="none"/>
        </w:rPr>
      </w:pPr>
      <w:bookmarkStart w:id="176" w:name="7.5 工期延误"/>
      <w:bookmarkEnd w:id="176"/>
      <w:bookmarkStart w:id="177" w:name="7.5 工期延误"/>
      <w:bookmarkEnd w:id="177"/>
      <w:r>
        <w:rPr>
          <w:rFonts w:hint="eastAsia" w:ascii="宋体" w:hAnsi="宋体" w:eastAsia="宋体" w:cs="宋体"/>
          <w:b/>
          <w:color w:val="auto"/>
          <w:sz w:val="28"/>
          <w:szCs w:val="28"/>
          <w:highlight w:val="none"/>
          <w:lang w:val="en-US" w:eastAsia="zh-CN"/>
        </w:rPr>
        <w:t>7.5</w:t>
      </w:r>
      <w:r>
        <w:rPr>
          <w:rFonts w:hint="eastAsia" w:ascii="宋体" w:hAnsi="宋体" w:eastAsia="宋体" w:cs="宋体"/>
          <w:b/>
          <w:color w:val="auto"/>
          <w:sz w:val="28"/>
          <w:szCs w:val="28"/>
          <w:highlight w:val="none"/>
        </w:rPr>
        <w:t>工期延误</w:t>
      </w:r>
    </w:p>
    <w:p w14:paraId="5D610B49">
      <w:pPr>
        <w:pStyle w:val="196"/>
        <w:pageBreakBefore w:val="0"/>
        <w:numPr>
          <w:ilvl w:val="0"/>
          <w:numId w:val="0"/>
        </w:numPr>
        <w:tabs>
          <w:tab w:val="left" w:pos="993"/>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7.5.1</w:t>
      </w:r>
      <w:r>
        <w:rPr>
          <w:rFonts w:hint="eastAsia" w:ascii="宋体" w:hAnsi="宋体" w:eastAsia="宋体" w:cs="宋体"/>
          <w:color w:val="auto"/>
          <w:spacing w:val="-3"/>
          <w:sz w:val="28"/>
          <w:szCs w:val="28"/>
          <w:highlight w:val="none"/>
        </w:rPr>
        <w:t>因发包人原因导致工期延误</w:t>
      </w:r>
    </w:p>
    <w:p w14:paraId="6026232C">
      <w:pPr>
        <w:pStyle w:val="19"/>
        <w:pageBreakBefore w:val="0"/>
        <w:tabs>
          <w:tab w:val="left" w:pos="583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r>
        <w:rPr>
          <w:rFonts w:hint="eastAsia" w:ascii="宋体" w:hAnsi="宋体" w:eastAsia="宋体" w:cs="宋体"/>
          <w:color w:val="auto"/>
          <w:spacing w:val="-3"/>
          <w:sz w:val="28"/>
          <w:szCs w:val="28"/>
          <w:highlight w:val="none"/>
        </w:rPr>
        <w:t>因</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原因</w:t>
      </w:r>
      <w:r>
        <w:rPr>
          <w:rFonts w:hint="eastAsia" w:ascii="宋体" w:hAnsi="宋体" w:eastAsia="宋体" w:cs="宋体"/>
          <w:color w:val="auto"/>
          <w:spacing w:val="-3"/>
          <w:sz w:val="28"/>
          <w:szCs w:val="28"/>
          <w:highlight w:val="none"/>
        </w:rPr>
        <w:t>导</w:t>
      </w:r>
      <w:r>
        <w:rPr>
          <w:rFonts w:hint="eastAsia" w:ascii="宋体" w:hAnsi="宋体" w:eastAsia="宋体" w:cs="宋体"/>
          <w:color w:val="auto"/>
          <w:sz w:val="28"/>
          <w:szCs w:val="28"/>
          <w:highlight w:val="none"/>
        </w:rPr>
        <w:t>致工</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延误</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其他</w:t>
      </w:r>
      <w:r>
        <w:rPr>
          <w:rFonts w:hint="eastAsia" w:ascii="宋体" w:hAnsi="宋体" w:eastAsia="宋体" w:cs="宋体"/>
          <w:color w:val="auto"/>
          <w:spacing w:val="-3"/>
          <w:sz w:val="28"/>
          <w:szCs w:val="28"/>
          <w:highlight w:val="none"/>
        </w:rPr>
        <w:t>情</w:t>
      </w:r>
      <w:r>
        <w:rPr>
          <w:rFonts w:hint="eastAsia" w:ascii="宋体" w:hAnsi="宋体" w:eastAsia="宋体" w:cs="宋体"/>
          <w:color w:val="auto"/>
          <w:sz w:val="28"/>
          <w:szCs w:val="28"/>
          <w:highlight w:val="none"/>
        </w:rPr>
        <w:t>形：</w:t>
      </w:r>
      <w:r>
        <w:rPr>
          <w:rFonts w:hint="eastAsia" w:ascii="宋体" w:hAnsi="宋体" w:eastAsia="宋体" w:cs="宋体"/>
          <w:color w:val="auto"/>
          <w:spacing w:val="-3"/>
          <w:sz w:val="28"/>
          <w:szCs w:val="28"/>
          <w:highlight w:val="none"/>
          <w:u w:val="single"/>
          <w:lang w:val="en-US" w:eastAsia="zh-CN"/>
        </w:rPr>
        <w:t>执行通用条款。</w:t>
      </w:r>
    </w:p>
    <w:p w14:paraId="5CE11EAF">
      <w:pPr>
        <w:pStyle w:val="196"/>
        <w:pageBreakBefore w:val="0"/>
        <w:numPr>
          <w:ilvl w:val="0"/>
          <w:numId w:val="0"/>
        </w:numPr>
        <w:tabs>
          <w:tab w:val="left" w:pos="993"/>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7.5.2</w:t>
      </w:r>
      <w:r>
        <w:rPr>
          <w:rFonts w:hint="eastAsia" w:ascii="宋体" w:hAnsi="宋体" w:eastAsia="宋体" w:cs="宋体"/>
          <w:color w:val="auto"/>
          <w:spacing w:val="-3"/>
          <w:sz w:val="28"/>
          <w:szCs w:val="28"/>
          <w:highlight w:val="none"/>
        </w:rPr>
        <w:t>因承包人原因导致工期延误</w:t>
      </w:r>
    </w:p>
    <w:p w14:paraId="7D5B228A">
      <w:pPr>
        <w:pStyle w:val="19"/>
        <w:pageBreakBefore w:val="0"/>
        <w:tabs>
          <w:tab w:val="left" w:pos="726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双</w:t>
      </w:r>
      <w:r>
        <w:rPr>
          <w:rFonts w:hint="eastAsia" w:ascii="宋体" w:hAnsi="宋体" w:eastAsia="宋体" w:cs="宋体"/>
          <w:color w:val="auto"/>
          <w:spacing w:val="-3"/>
          <w:sz w:val="28"/>
          <w:szCs w:val="28"/>
          <w:highlight w:val="none"/>
        </w:rPr>
        <w:t>方</w:t>
      </w:r>
      <w:r>
        <w:rPr>
          <w:rFonts w:hint="eastAsia" w:ascii="宋体" w:hAnsi="宋体" w:eastAsia="宋体" w:cs="宋体"/>
          <w:color w:val="auto"/>
          <w:sz w:val="28"/>
          <w:szCs w:val="28"/>
          <w:highlight w:val="none"/>
        </w:rPr>
        <w:t>约定</w:t>
      </w:r>
      <w:r>
        <w:rPr>
          <w:rFonts w:hint="eastAsia" w:ascii="宋体" w:hAnsi="宋体" w:eastAsia="宋体" w:cs="宋体"/>
          <w:color w:val="auto"/>
          <w:spacing w:val="-3"/>
          <w:sz w:val="28"/>
          <w:szCs w:val="28"/>
          <w:highlight w:val="none"/>
        </w:rPr>
        <w:t>经</w:t>
      </w:r>
      <w:r>
        <w:rPr>
          <w:rFonts w:hint="eastAsia" w:ascii="宋体" w:hAnsi="宋体" w:eastAsia="宋体" w:cs="宋体"/>
          <w:color w:val="auto"/>
          <w:sz w:val="28"/>
          <w:szCs w:val="28"/>
          <w:highlight w:val="none"/>
        </w:rPr>
        <w:t>监理</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程师</w:t>
      </w:r>
      <w:r>
        <w:rPr>
          <w:rFonts w:hint="eastAsia" w:ascii="宋体" w:hAnsi="宋体" w:eastAsia="宋体" w:cs="宋体"/>
          <w:color w:val="auto"/>
          <w:spacing w:val="-3"/>
          <w:sz w:val="28"/>
          <w:szCs w:val="28"/>
          <w:highlight w:val="none"/>
        </w:rPr>
        <w:t>确</w:t>
      </w:r>
      <w:r>
        <w:rPr>
          <w:rFonts w:hint="eastAsia" w:ascii="宋体" w:hAnsi="宋体" w:eastAsia="宋体" w:cs="宋体"/>
          <w:color w:val="auto"/>
          <w:sz w:val="28"/>
          <w:szCs w:val="28"/>
          <w:highlight w:val="none"/>
        </w:rPr>
        <w:t>认，</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期相</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顺延</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情况：</w:t>
      </w:r>
      <w:r>
        <w:rPr>
          <w:rFonts w:hint="eastAsia" w:ascii="宋体" w:hAnsi="宋体" w:eastAsia="宋体" w:cs="宋体"/>
          <w:color w:val="auto"/>
          <w:spacing w:val="-3"/>
          <w:sz w:val="28"/>
          <w:szCs w:val="28"/>
          <w:highlight w:val="none"/>
          <w:u w:val="single"/>
          <w:lang w:val="en-US" w:eastAsia="zh-CN"/>
        </w:rPr>
        <w:t>执行通用条款。</w:t>
      </w:r>
    </w:p>
    <w:p w14:paraId="5AC042CD">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5"/>
          <w:sz w:val="28"/>
          <w:szCs w:val="28"/>
          <w:highlight w:val="none"/>
        </w:rPr>
        <w:t>因承包人原因造成工期延误，逾期竣工违约金的计算方法为：</w:t>
      </w:r>
      <w:r>
        <w:rPr>
          <w:rFonts w:hint="eastAsia" w:ascii="宋体" w:hAnsi="宋体" w:eastAsia="宋体" w:cs="宋体"/>
          <w:color w:val="auto"/>
          <w:spacing w:val="-5"/>
          <w:sz w:val="28"/>
          <w:szCs w:val="28"/>
          <w:highlight w:val="none"/>
          <w:u w:val="single"/>
        </w:rPr>
        <w:t>非上述原因，承包人不能按合同约定的</w:t>
      </w:r>
      <w:r>
        <w:rPr>
          <w:rFonts w:hint="eastAsia" w:ascii="宋体" w:hAnsi="宋体" w:eastAsia="宋体" w:cs="宋体"/>
          <w:color w:val="auto"/>
          <w:spacing w:val="-7"/>
          <w:sz w:val="28"/>
          <w:szCs w:val="28"/>
          <w:highlight w:val="none"/>
          <w:u w:val="single"/>
        </w:rPr>
        <w:t>时间竣工，承包人应承担违约责任。应向发包人支付误期赔偿费</w:t>
      </w:r>
      <w:r>
        <w:rPr>
          <w:rFonts w:hint="eastAsia" w:ascii="宋体" w:hAnsi="宋体" w:eastAsia="宋体" w:cs="宋体"/>
          <w:color w:val="auto"/>
          <w:spacing w:val="-3"/>
          <w:sz w:val="28"/>
          <w:szCs w:val="28"/>
          <w:highlight w:val="none"/>
          <w:u w:val="single"/>
        </w:rPr>
        <w:t>（每天赔偿金额为合同价款扣除建安</w:t>
      </w:r>
      <w:r>
        <w:rPr>
          <w:rFonts w:hint="eastAsia" w:ascii="宋体" w:hAnsi="宋体" w:eastAsia="宋体" w:cs="宋体"/>
          <w:color w:val="auto"/>
          <w:spacing w:val="-5"/>
          <w:sz w:val="28"/>
          <w:szCs w:val="28"/>
          <w:highlight w:val="none"/>
          <w:u w:val="single"/>
        </w:rPr>
        <w:t xml:space="preserve">劳保费、发包人材料价款、暂估专业工程、暂列金额后的万分之 </w:t>
      </w:r>
      <w:r>
        <w:rPr>
          <w:rFonts w:hint="eastAsia" w:ascii="宋体" w:hAnsi="宋体" w:eastAsia="宋体" w:cs="宋体"/>
          <w:color w:val="auto"/>
          <w:sz w:val="28"/>
          <w:szCs w:val="28"/>
          <w:highlight w:val="none"/>
          <w:u w:val="single"/>
        </w:rPr>
        <w:t>0.04</w:t>
      </w:r>
      <w:r>
        <w:rPr>
          <w:rFonts w:hint="eastAsia" w:ascii="宋体" w:hAnsi="宋体" w:eastAsia="宋体" w:cs="宋体"/>
          <w:color w:val="auto"/>
          <w:spacing w:val="5"/>
          <w:sz w:val="28"/>
          <w:szCs w:val="28"/>
          <w:highlight w:val="none"/>
          <w:u w:val="single"/>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pacing w:val="-3"/>
          <w:sz w:val="28"/>
          <w:szCs w:val="28"/>
          <w:highlight w:val="none"/>
          <w:u w:val="single"/>
        </w:rPr>
        <w:t>，误期时间从规定竣工日期</w:t>
      </w:r>
      <w:r>
        <w:rPr>
          <w:rFonts w:hint="eastAsia" w:ascii="宋体" w:hAnsi="宋体" w:eastAsia="宋体" w:cs="宋体"/>
          <w:color w:val="auto"/>
          <w:spacing w:val="-4"/>
          <w:sz w:val="28"/>
          <w:szCs w:val="28"/>
          <w:highlight w:val="none"/>
          <w:u w:val="single"/>
        </w:rPr>
        <w:t>起直到实际竣工日期的天数</w:t>
      </w:r>
      <w:r>
        <w:rPr>
          <w:rFonts w:hint="eastAsia" w:ascii="宋体" w:hAnsi="宋体" w:eastAsia="宋体" w:cs="宋体"/>
          <w:color w:val="auto"/>
          <w:spacing w:val="-1"/>
          <w:sz w:val="28"/>
          <w:szCs w:val="28"/>
          <w:highlight w:val="none"/>
          <w:u w:val="single"/>
        </w:rPr>
        <w:t>（</w:t>
      </w:r>
      <w:r>
        <w:rPr>
          <w:rFonts w:hint="eastAsia" w:ascii="宋体" w:hAnsi="宋体" w:eastAsia="宋体" w:cs="宋体"/>
          <w:color w:val="auto"/>
          <w:spacing w:val="-3"/>
          <w:sz w:val="28"/>
          <w:szCs w:val="28"/>
          <w:highlight w:val="none"/>
          <w:u w:val="single"/>
        </w:rPr>
        <w:t>扣除发包人批准顺延的工期</w:t>
      </w:r>
      <w:r>
        <w:rPr>
          <w:rFonts w:hint="eastAsia" w:ascii="宋体" w:hAnsi="宋体" w:eastAsia="宋体" w:cs="宋体"/>
          <w:color w:val="auto"/>
          <w:spacing w:val="-15"/>
          <w:sz w:val="28"/>
          <w:szCs w:val="28"/>
          <w:highlight w:val="none"/>
          <w:u w:val="single"/>
        </w:rPr>
        <w:t>）</w:t>
      </w:r>
      <w:r>
        <w:rPr>
          <w:rFonts w:hint="eastAsia" w:ascii="宋体" w:hAnsi="宋体" w:eastAsia="宋体" w:cs="宋体"/>
          <w:color w:val="auto"/>
          <w:spacing w:val="-5"/>
          <w:sz w:val="28"/>
          <w:szCs w:val="28"/>
          <w:highlight w:val="none"/>
          <w:u w:val="single"/>
        </w:rPr>
        <w:t>。发包人可从应向承包人支付的任何金额中扣除此项赔款费或其他方式收回此款，此赔偿款的支付并不能解除承包人应完成工程的责任或合同</w:t>
      </w:r>
    </w:p>
    <w:p w14:paraId="58440A21">
      <w:pPr>
        <w:pStyle w:val="19"/>
        <w:pageBreakBefore w:val="0"/>
        <w:kinsoku/>
        <w:overflowPunct/>
        <w:topLinePunct w:val="0"/>
        <w:bidi w:val="0"/>
        <w:snapToGrid/>
        <w:spacing w:before="70" w:line="560" w:lineRule="exact"/>
        <w:ind w:right="48" w:rightChars="23"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规定的其他责任。 </w:t>
      </w:r>
    </w:p>
    <w:p w14:paraId="7DDFE71A">
      <w:pPr>
        <w:pStyle w:val="19"/>
        <w:pageBreakBefore w:val="0"/>
        <w:kinsoku/>
        <w:overflowPunct/>
        <w:topLinePunct w:val="0"/>
        <w:bidi w:val="0"/>
        <w:snapToGrid/>
        <w:spacing w:before="7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因承包人原因造成工期延误，逾期竣工违约金的上限：</w:t>
      </w:r>
      <w:r>
        <w:rPr>
          <w:rFonts w:hint="eastAsia" w:ascii="宋体" w:hAnsi="宋体" w:eastAsia="宋体" w:cs="宋体"/>
          <w:color w:val="auto"/>
          <w:sz w:val="28"/>
          <w:szCs w:val="28"/>
          <w:highlight w:val="none"/>
          <w:u w:val="single"/>
        </w:rPr>
        <w:t>合同价扣除建安劳保费、发包人材料价款、暂估专业工程、暂列金额后的 5 %</w:t>
      </w:r>
      <w:r>
        <w:rPr>
          <w:rFonts w:hint="eastAsia" w:ascii="宋体" w:hAnsi="宋体" w:eastAsia="宋体" w:cs="宋体"/>
          <w:color w:val="auto"/>
          <w:sz w:val="28"/>
          <w:szCs w:val="28"/>
          <w:highlight w:val="none"/>
        </w:rPr>
        <w:t>。</w:t>
      </w:r>
    </w:p>
    <w:p w14:paraId="6E761883">
      <w:pPr>
        <w:pageBreakBefore w:val="0"/>
        <w:numPr>
          <w:ilvl w:val="0"/>
          <w:numId w:val="0"/>
        </w:numPr>
        <w:tabs>
          <w:tab w:val="left" w:pos="777"/>
        </w:tabs>
        <w:kinsoku/>
        <w:overflowPunct/>
        <w:topLinePunct w:val="0"/>
        <w:bidi w:val="0"/>
        <w:snapToGrid/>
        <w:spacing w:before="1" w:line="560" w:lineRule="exact"/>
        <w:ind w:left="331" w:leftChars="0" w:right="48" w:rightChars="23"/>
        <w:jc w:val="left"/>
        <w:rPr>
          <w:rFonts w:hint="eastAsia" w:ascii="宋体" w:hAnsi="宋体" w:eastAsia="宋体" w:cs="宋体"/>
          <w:b/>
          <w:color w:val="auto"/>
          <w:sz w:val="28"/>
          <w:szCs w:val="28"/>
          <w:highlight w:val="none"/>
        </w:rPr>
      </w:pPr>
      <w:bookmarkStart w:id="178" w:name="7.6 不利物质条件"/>
      <w:bookmarkEnd w:id="178"/>
      <w:bookmarkStart w:id="179" w:name="7.6 不利物质条件"/>
      <w:bookmarkEnd w:id="179"/>
      <w:r>
        <w:rPr>
          <w:rFonts w:hint="eastAsia" w:ascii="宋体" w:hAnsi="宋体" w:eastAsia="宋体" w:cs="宋体"/>
          <w:b/>
          <w:color w:val="auto"/>
          <w:sz w:val="28"/>
          <w:szCs w:val="28"/>
          <w:highlight w:val="none"/>
          <w:lang w:val="en-US" w:eastAsia="zh-CN"/>
        </w:rPr>
        <w:t>7.6</w:t>
      </w:r>
      <w:r>
        <w:rPr>
          <w:rFonts w:hint="eastAsia" w:ascii="宋体" w:hAnsi="宋体" w:eastAsia="宋体" w:cs="宋体"/>
          <w:b/>
          <w:color w:val="auto"/>
          <w:sz w:val="28"/>
          <w:szCs w:val="28"/>
          <w:highlight w:val="none"/>
        </w:rPr>
        <w:t>不利物质条件</w:t>
      </w:r>
    </w:p>
    <w:p w14:paraId="19DA48B6">
      <w:pPr>
        <w:pStyle w:val="19"/>
        <w:pageBreakBefore w:val="0"/>
        <w:tabs>
          <w:tab w:val="left" w:pos="605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w:t>
      </w:r>
      <w:r>
        <w:rPr>
          <w:rFonts w:hint="eastAsia" w:ascii="宋体" w:hAnsi="宋体" w:eastAsia="宋体" w:cs="宋体"/>
          <w:color w:val="auto"/>
          <w:spacing w:val="-3"/>
          <w:sz w:val="28"/>
          <w:szCs w:val="28"/>
          <w:highlight w:val="none"/>
        </w:rPr>
        <w:t>利</w:t>
      </w:r>
      <w:r>
        <w:rPr>
          <w:rFonts w:hint="eastAsia" w:ascii="宋体" w:hAnsi="宋体" w:eastAsia="宋体" w:cs="宋体"/>
          <w:color w:val="auto"/>
          <w:sz w:val="28"/>
          <w:szCs w:val="28"/>
          <w:highlight w:val="none"/>
        </w:rPr>
        <w:t>物质</w:t>
      </w:r>
      <w:r>
        <w:rPr>
          <w:rFonts w:hint="eastAsia" w:ascii="宋体" w:hAnsi="宋体" w:eastAsia="宋体" w:cs="宋体"/>
          <w:color w:val="auto"/>
          <w:spacing w:val="-3"/>
          <w:sz w:val="28"/>
          <w:szCs w:val="28"/>
          <w:highlight w:val="none"/>
        </w:rPr>
        <w:t>条</w:t>
      </w:r>
      <w:r>
        <w:rPr>
          <w:rFonts w:hint="eastAsia" w:ascii="宋体" w:hAnsi="宋体" w:eastAsia="宋体" w:cs="宋体"/>
          <w:color w:val="auto"/>
          <w:sz w:val="28"/>
          <w:szCs w:val="28"/>
          <w:highlight w:val="none"/>
        </w:rPr>
        <w:t>件的</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他情</w:t>
      </w:r>
      <w:r>
        <w:rPr>
          <w:rFonts w:hint="eastAsia" w:ascii="宋体" w:hAnsi="宋体" w:eastAsia="宋体" w:cs="宋体"/>
          <w:color w:val="auto"/>
          <w:spacing w:val="-3"/>
          <w:sz w:val="28"/>
          <w:szCs w:val="28"/>
          <w:highlight w:val="none"/>
        </w:rPr>
        <w:t>形</w:t>
      </w:r>
      <w:r>
        <w:rPr>
          <w:rFonts w:hint="eastAsia" w:ascii="宋体" w:hAnsi="宋体" w:eastAsia="宋体" w:cs="宋体"/>
          <w:color w:val="auto"/>
          <w:sz w:val="28"/>
          <w:szCs w:val="28"/>
          <w:highlight w:val="none"/>
        </w:rPr>
        <w:t>和有</w:t>
      </w:r>
      <w:r>
        <w:rPr>
          <w:rFonts w:hint="eastAsia" w:ascii="宋体" w:hAnsi="宋体" w:eastAsia="宋体" w:cs="宋体"/>
          <w:color w:val="auto"/>
          <w:spacing w:val="-3"/>
          <w:sz w:val="28"/>
          <w:szCs w:val="28"/>
          <w:highlight w:val="none"/>
        </w:rPr>
        <w:t>关</w:t>
      </w:r>
      <w:r>
        <w:rPr>
          <w:rFonts w:hint="eastAsia" w:ascii="宋体" w:hAnsi="宋体" w:eastAsia="宋体" w:cs="宋体"/>
          <w:color w:val="auto"/>
          <w:sz w:val="28"/>
          <w:szCs w:val="28"/>
          <w:highlight w:val="none"/>
        </w:rPr>
        <w:t>约定：</w:t>
      </w:r>
      <w:r>
        <w:rPr>
          <w:rFonts w:hint="eastAsia" w:ascii="宋体" w:hAnsi="宋体" w:eastAsia="宋体" w:cs="宋体"/>
          <w:color w:val="auto"/>
          <w:sz w:val="28"/>
          <w:szCs w:val="28"/>
          <w:highlight w:val="none"/>
          <w:u w:val="single"/>
          <w:lang w:val="en-US" w:eastAsia="zh-CN"/>
        </w:rPr>
        <w:t>/</w:t>
      </w:r>
    </w:p>
    <w:p w14:paraId="25FA4F7A">
      <w:pPr>
        <w:pageBreakBefore w:val="0"/>
        <w:numPr>
          <w:ilvl w:val="0"/>
          <w:numId w:val="0"/>
        </w:numPr>
        <w:tabs>
          <w:tab w:val="left" w:pos="777"/>
        </w:tabs>
        <w:kinsoku/>
        <w:overflowPunct/>
        <w:topLinePunct w:val="0"/>
        <w:bidi w:val="0"/>
        <w:snapToGrid/>
        <w:spacing w:before="190" w:line="560" w:lineRule="exact"/>
        <w:ind w:left="331" w:leftChars="0" w:right="48" w:rightChars="23"/>
        <w:jc w:val="left"/>
        <w:rPr>
          <w:rFonts w:hint="eastAsia" w:ascii="宋体" w:hAnsi="宋体" w:eastAsia="宋体" w:cs="宋体"/>
          <w:b/>
          <w:color w:val="auto"/>
          <w:sz w:val="28"/>
          <w:szCs w:val="28"/>
          <w:highlight w:val="none"/>
        </w:rPr>
      </w:pPr>
      <w:bookmarkStart w:id="180" w:name="7.7 异常恶劣的气候条件"/>
      <w:bookmarkEnd w:id="180"/>
      <w:bookmarkStart w:id="181" w:name="7.7 异常恶劣的气候条件"/>
      <w:bookmarkEnd w:id="181"/>
      <w:r>
        <w:rPr>
          <w:rFonts w:hint="eastAsia" w:ascii="宋体" w:hAnsi="宋体" w:eastAsia="宋体" w:cs="宋体"/>
          <w:b/>
          <w:color w:val="auto"/>
          <w:sz w:val="28"/>
          <w:szCs w:val="28"/>
          <w:highlight w:val="none"/>
          <w:lang w:val="en-US" w:eastAsia="zh-CN"/>
        </w:rPr>
        <w:t>7.7</w:t>
      </w:r>
      <w:r>
        <w:rPr>
          <w:rFonts w:hint="eastAsia" w:ascii="宋体" w:hAnsi="宋体" w:eastAsia="宋体" w:cs="宋体"/>
          <w:b/>
          <w:color w:val="auto"/>
          <w:sz w:val="28"/>
          <w:szCs w:val="28"/>
          <w:highlight w:val="none"/>
        </w:rPr>
        <w:t>异常恶劣的气候条件</w:t>
      </w:r>
    </w:p>
    <w:p w14:paraId="77D09A32">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发包人和承包人同意以下情形视为异常恶劣的气候条件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具体</w:t>
      </w:r>
      <w:r>
        <w:rPr>
          <w:rFonts w:hint="eastAsia" w:ascii="宋体" w:hAnsi="宋体" w:eastAsia="宋体" w:cs="宋体"/>
          <w:color w:val="auto"/>
          <w:sz w:val="28"/>
          <w:szCs w:val="28"/>
          <w:highlight w:val="none"/>
          <w:lang w:eastAsia="zh-CN"/>
        </w:rPr>
        <w:t>以有关部门发布的文告或文件为准</w:t>
      </w:r>
      <w:r>
        <w:rPr>
          <w:rFonts w:hint="eastAsia" w:ascii="宋体" w:hAnsi="宋体" w:eastAsia="宋体" w:cs="宋体"/>
          <w:color w:val="auto"/>
          <w:sz w:val="28"/>
          <w:szCs w:val="28"/>
          <w:highlight w:val="none"/>
        </w:rPr>
        <w:t>：</w:t>
      </w:r>
    </w:p>
    <w:p w14:paraId="2CF6D206">
      <w:pPr>
        <w:pStyle w:val="19"/>
        <w:pageBreakBefore w:val="0"/>
        <w:tabs>
          <w:tab w:val="left" w:pos="297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u w:val="single"/>
        </w:rPr>
        <w:t xml:space="preserve"> 6 级以上的地震；</w:t>
      </w:r>
    </w:p>
    <w:p w14:paraId="7883E368">
      <w:pPr>
        <w:pStyle w:val="19"/>
        <w:pageBreakBefore w:val="0"/>
        <w:tabs>
          <w:tab w:val="left" w:pos="297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u w:val="single"/>
        </w:rPr>
        <w:t xml:space="preserve"> 8级以上持续1天的大风；</w:t>
      </w:r>
    </w:p>
    <w:p w14:paraId="0509E84A">
      <w:pPr>
        <w:pStyle w:val="19"/>
        <w:pageBreakBefore w:val="0"/>
        <w:tabs>
          <w:tab w:val="left" w:pos="297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u w:val="single"/>
        </w:rPr>
        <w:t xml:space="preserve"> 中雨级以上持续1天的大雨；</w:t>
      </w:r>
    </w:p>
    <w:p w14:paraId="05F53AC6">
      <w:pPr>
        <w:pStyle w:val="19"/>
        <w:pageBreakBefore w:val="0"/>
        <w:tabs>
          <w:tab w:val="left" w:pos="297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20年以上未发生过，持续2天的36°C以上高温天气；</w:t>
      </w:r>
    </w:p>
    <w:p w14:paraId="3813BB94">
      <w:pPr>
        <w:pStyle w:val="19"/>
        <w:pageBreakBefore w:val="0"/>
        <w:tabs>
          <w:tab w:val="left" w:pos="297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20年以上未发生过，持续2天的4°C以下低温天气；</w:t>
      </w:r>
    </w:p>
    <w:p w14:paraId="45F6ACF2">
      <w:pPr>
        <w:pStyle w:val="19"/>
        <w:pageBreakBefore w:val="0"/>
        <w:tabs>
          <w:tab w:val="left" w:pos="297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20年以上未发生过的洪水；</w:t>
      </w:r>
    </w:p>
    <w:p w14:paraId="26FAC007">
      <w:pPr>
        <w:pageBreakBefore w:val="0"/>
        <w:kinsoku/>
        <w:overflowPunct/>
        <w:topLinePunct w:val="0"/>
        <w:bidi w:val="0"/>
        <w:snapToGrid/>
        <w:spacing w:before="50" w:line="560" w:lineRule="exact"/>
        <w:ind w:left="332" w:right="48" w:rightChars="23" w:firstLine="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7.9 提前竣工</w:t>
      </w:r>
    </w:p>
    <w:p w14:paraId="49DDB162">
      <w:pPr>
        <w:pStyle w:val="19"/>
        <w:pageBreakBefore w:val="0"/>
        <w:tabs>
          <w:tab w:val="left" w:pos="6219"/>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7.9.2</w:t>
      </w:r>
      <w:r>
        <w:rPr>
          <w:rFonts w:hint="eastAsia" w:ascii="宋体" w:hAnsi="宋体" w:eastAsia="宋体" w:cs="宋体"/>
          <w:color w:val="auto"/>
          <w:spacing w:val="-54"/>
          <w:sz w:val="28"/>
          <w:szCs w:val="28"/>
          <w:highlight w:val="none"/>
        </w:rPr>
        <w:t xml:space="preserve"> </w:t>
      </w:r>
      <w:r>
        <w:rPr>
          <w:rFonts w:hint="eastAsia" w:ascii="宋体" w:hAnsi="宋体" w:eastAsia="宋体" w:cs="宋体"/>
          <w:color w:val="auto"/>
          <w:sz w:val="28"/>
          <w:szCs w:val="28"/>
          <w:highlight w:val="none"/>
        </w:rPr>
        <w:t>提</w:t>
      </w:r>
      <w:r>
        <w:rPr>
          <w:rFonts w:hint="eastAsia" w:ascii="宋体" w:hAnsi="宋体" w:eastAsia="宋体" w:cs="宋体"/>
          <w:color w:val="auto"/>
          <w:spacing w:val="-3"/>
          <w:sz w:val="28"/>
          <w:szCs w:val="28"/>
          <w:highlight w:val="none"/>
        </w:rPr>
        <w:t>前</w:t>
      </w: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赶工</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增加</w:t>
      </w:r>
      <w:r>
        <w:rPr>
          <w:rFonts w:hint="eastAsia" w:ascii="宋体" w:hAnsi="宋体" w:eastAsia="宋体" w:cs="宋体"/>
          <w:color w:val="auto"/>
          <w:spacing w:val="-3"/>
          <w:sz w:val="28"/>
          <w:szCs w:val="28"/>
          <w:highlight w:val="none"/>
        </w:rPr>
        <w:t>费</w:t>
      </w:r>
      <w:r>
        <w:rPr>
          <w:rFonts w:hint="eastAsia" w:ascii="宋体" w:hAnsi="宋体" w:eastAsia="宋体" w:cs="宋体"/>
          <w:color w:val="auto"/>
          <w:sz w:val="28"/>
          <w:szCs w:val="28"/>
          <w:highlight w:val="none"/>
        </w:rPr>
        <w:t>的计</w:t>
      </w:r>
      <w:r>
        <w:rPr>
          <w:rFonts w:hint="eastAsia" w:ascii="宋体" w:hAnsi="宋体" w:eastAsia="宋体" w:cs="宋体"/>
          <w:color w:val="auto"/>
          <w:spacing w:val="-3"/>
          <w:sz w:val="28"/>
          <w:szCs w:val="28"/>
          <w:highlight w:val="none"/>
        </w:rPr>
        <w:t>算</w:t>
      </w:r>
      <w:r>
        <w:rPr>
          <w:rFonts w:hint="eastAsia" w:ascii="宋体" w:hAnsi="宋体" w:eastAsia="宋体" w:cs="宋体"/>
          <w:color w:val="auto"/>
          <w:sz w:val="28"/>
          <w:szCs w:val="28"/>
          <w:highlight w:val="none"/>
        </w:rPr>
        <w:t>方法</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u w:val="single"/>
          <w:lang w:val="en-US" w:eastAsia="zh-CN"/>
        </w:rPr>
        <w:t>/</w:t>
      </w:r>
    </w:p>
    <w:p w14:paraId="4AD052A9">
      <w:pPr>
        <w:pageBreakBefore w:val="0"/>
        <w:numPr>
          <w:ilvl w:val="0"/>
          <w:numId w:val="0"/>
        </w:numPr>
        <w:tabs>
          <w:tab w:val="left" w:pos="667"/>
        </w:tabs>
        <w:kinsoku/>
        <w:overflowPunct/>
        <w:topLinePunct w:val="0"/>
        <w:bidi w:val="0"/>
        <w:snapToGrid/>
        <w:spacing w:before="191" w:line="560" w:lineRule="exact"/>
        <w:ind w:left="331" w:leftChars="0" w:right="48" w:rightChars="23"/>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8.</w:t>
      </w:r>
      <w:r>
        <w:rPr>
          <w:rFonts w:hint="eastAsia" w:ascii="宋体" w:hAnsi="宋体" w:eastAsia="宋体" w:cs="宋体"/>
          <w:b/>
          <w:color w:val="auto"/>
          <w:sz w:val="28"/>
          <w:szCs w:val="28"/>
          <w:highlight w:val="none"/>
        </w:rPr>
        <w:t>材料与设备</w:t>
      </w:r>
    </w:p>
    <w:p w14:paraId="473D83A2">
      <w:pPr>
        <w:pageBreakBefore w:val="0"/>
        <w:kinsoku/>
        <w:overflowPunct/>
        <w:topLinePunct w:val="0"/>
        <w:bidi w:val="0"/>
        <w:snapToGrid/>
        <w:spacing w:before="0" w:line="560" w:lineRule="exact"/>
        <w:ind w:left="332" w:right="48" w:rightChars="23" w:firstLine="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8.2 承包人采购材料与工程设备</w:t>
      </w:r>
    </w:p>
    <w:p w14:paraId="0559FA23">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除已标价工程量清单《发包人提供主要材料和工程设备一览表》（</w:t>
      </w:r>
      <w:r>
        <w:rPr>
          <w:rFonts w:hint="eastAsia" w:ascii="宋体" w:hAnsi="宋体" w:eastAsia="宋体" w:cs="宋体"/>
          <w:color w:val="auto"/>
          <w:sz w:val="28"/>
          <w:szCs w:val="28"/>
          <w:highlight w:val="none"/>
        </w:rPr>
        <w:t>表-21）</w:t>
      </w:r>
      <w:r>
        <w:rPr>
          <w:rFonts w:hint="eastAsia" w:ascii="宋体" w:hAnsi="宋体" w:eastAsia="宋体" w:cs="宋体"/>
          <w:color w:val="auto"/>
          <w:spacing w:val="-3"/>
          <w:sz w:val="28"/>
          <w:szCs w:val="28"/>
          <w:highlight w:val="none"/>
        </w:rPr>
        <w:t>中明确的材料、工程设备外，由承包人负责材料和工程设备的采购、运输和保管。《承包人提供主要材料和工程设备一览表》</w:t>
      </w:r>
    </w:p>
    <w:p w14:paraId="73AC84CF">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（表-22）见已标价工程量清单。</w:t>
      </w:r>
    </w:p>
    <w:p w14:paraId="09FA5B58">
      <w:pPr>
        <w:pageBreakBefore w:val="0"/>
        <w:numPr>
          <w:ilvl w:val="1"/>
          <w:numId w:val="13"/>
        </w:numPr>
        <w:tabs>
          <w:tab w:val="left" w:pos="777"/>
        </w:tabs>
        <w:kinsoku/>
        <w:overflowPunct/>
        <w:topLinePunct w:val="0"/>
        <w:bidi w:val="0"/>
        <w:snapToGrid/>
        <w:spacing w:before="1" w:line="560" w:lineRule="exact"/>
        <w:ind w:left="776" w:right="48" w:rightChars="23" w:hanging="445"/>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材料与工程设备的保管与使用</w:t>
      </w:r>
    </w:p>
    <w:p w14:paraId="122AE268">
      <w:pPr>
        <w:pStyle w:val="196"/>
        <w:pageBreakBefore w:val="0"/>
        <w:numPr>
          <w:ilvl w:val="0"/>
          <w:numId w:val="0"/>
        </w:numPr>
        <w:tabs>
          <w:tab w:val="left" w:pos="940"/>
          <w:tab w:val="left" w:pos="7319"/>
        </w:tabs>
        <w:kinsoku/>
        <w:overflowPunct/>
        <w:topLinePunct w:val="0"/>
        <w:bidi w:val="0"/>
        <w:snapToGrid/>
        <w:spacing w:before="0" w:after="0" w:line="560" w:lineRule="exact"/>
        <w:ind w:left="332"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人供</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的材</w:t>
      </w:r>
      <w:r>
        <w:rPr>
          <w:rFonts w:hint="eastAsia" w:ascii="宋体" w:hAnsi="宋体" w:eastAsia="宋体" w:cs="宋体"/>
          <w:color w:val="auto"/>
          <w:spacing w:val="-3"/>
          <w:sz w:val="28"/>
          <w:szCs w:val="28"/>
          <w:highlight w:val="none"/>
        </w:rPr>
        <w:t>料</w:t>
      </w:r>
      <w:r>
        <w:rPr>
          <w:rFonts w:hint="eastAsia" w:ascii="宋体" w:hAnsi="宋体" w:eastAsia="宋体" w:cs="宋体"/>
          <w:color w:val="auto"/>
          <w:sz w:val="28"/>
          <w:szCs w:val="28"/>
          <w:highlight w:val="none"/>
        </w:rPr>
        <w:t>设备</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保管</w:t>
      </w:r>
      <w:r>
        <w:rPr>
          <w:rFonts w:hint="eastAsia" w:ascii="宋体" w:hAnsi="宋体" w:eastAsia="宋体" w:cs="宋体"/>
          <w:color w:val="auto"/>
          <w:spacing w:val="-3"/>
          <w:sz w:val="28"/>
          <w:szCs w:val="28"/>
          <w:highlight w:val="none"/>
        </w:rPr>
        <w:t>费</w:t>
      </w:r>
      <w:r>
        <w:rPr>
          <w:rFonts w:hint="eastAsia" w:ascii="宋体" w:hAnsi="宋体" w:eastAsia="宋体" w:cs="宋体"/>
          <w:color w:val="auto"/>
          <w:sz w:val="28"/>
          <w:szCs w:val="28"/>
          <w:highlight w:val="none"/>
        </w:rPr>
        <w:t>用的</w:t>
      </w:r>
      <w:r>
        <w:rPr>
          <w:rFonts w:hint="eastAsia" w:ascii="宋体" w:hAnsi="宋体" w:eastAsia="宋体" w:cs="宋体"/>
          <w:color w:val="auto"/>
          <w:spacing w:val="-3"/>
          <w:sz w:val="28"/>
          <w:szCs w:val="28"/>
          <w:highlight w:val="none"/>
        </w:rPr>
        <w:t>承</w:t>
      </w:r>
      <w:r>
        <w:rPr>
          <w:rFonts w:hint="eastAsia" w:ascii="宋体" w:hAnsi="宋体" w:eastAsia="宋体" w:cs="宋体"/>
          <w:color w:val="auto"/>
          <w:sz w:val="28"/>
          <w:szCs w:val="28"/>
          <w:highlight w:val="none"/>
        </w:rPr>
        <w:t>担</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u w:val="single"/>
          <w:lang w:val="en-US" w:eastAsia="zh-CN"/>
        </w:rPr>
        <w:t>/</w:t>
      </w:r>
    </w:p>
    <w:p w14:paraId="7651BD86">
      <w:pPr>
        <w:pageBreakBefore w:val="0"/>
        <w:numPr>
          <w:ilvl w:val="1"/>
          <w:numId w:val="14"/>
        </w:numPr>
        <w:tabs>
          <w:tab w:val="left" w:pos="777"/>
        </w:tabs>
        <w:kinsoku/>
        <w:overflowPunct/>
        <w:topLinePunct w:val="0"/>
        <w:bidi w:val="0"/>
        <w:snapToGrid/>
        <w:spacing w:before="190" w:line="560" w:lineRule="exact"/>
        <w:ind w:left="776" w:right="48" w:rightChars="23" w:hanging="445"/>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样品</w:t>
      </w:r>
    </w:p>
    <w:p w14:paraId="6D30B4B8">
      <w:pPr>
        <w:pStyle w:val="196"/>
        <w:pageBreakBefore w:val="0"/>
        <w:numPr>
          <w:ilvl w:val="0"/>
          <w:numId w:val="0"/>
        </w:numPr>
        <w:tabs>
          <w:tab w:val="left" w:pos="993"/>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8.6.1</w:t>
      </w:r>
      <w:r>
        <w:rPr>
          <w:rFonts w:hint="eastAsia" w:ascii="宋体" w:hAnsi="宋体" w:eastAsia="宋体" w:cs="宋体"/>
          <w:color w:val="auto"/>
          <w:spacing w:val="-3"/>
          <w:sz w:val="28"/>
          <w:szCs w:val="28"/>
          <w:highlight w:val="none"/>
        </w:rPr>
        <w:t>样品的报送与封存</w:t>
      </w:r>
    </w:p>
    <w:p w14:paraId="753A231C">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需要承包人报送样品的材料或工程设备，样品的种类、名称、规格、数量要求：</w:t>
      </w:r>
      <w:r>
        <w:rPr>
          <w:rFonts w:hint="eastAsia" w:ascii="宋体" w:hAnsi="宋体" w:eastAsia="宋体" w:cs="宋体"/>
          <w:color w:val="auto"/>
          <w:sz w:val="28"/>
          <w:szCs w:val="28"/>
          <w:highlight w:val="none"/>
          <w:u w:val="single"/>
        </w:rPr>
        <w:t>主要材料涉及品种、款式、颜色等方面内容的，承包人应提交准备合格的材料样品送发包人选定。</w:t>
      </w:r>
    </w:p>
    <w:p w14:paraId="4C7CCC44">
      <w:pPr>
        <w:pageBreakBefore w:val="0"/>
        <w:numPr>
          <w:ilvl w:val="1"/>
          <w:numId w:val="15"/>
        </w:numPr>
        <w:tabs>
          <w:tab w:val="left" w:pos="777"/>
        </w:tabs>
        <w:kinsoku/>
        <w:overflowPunct/>
        <w:topLinePunct w:val="0"/>
        <w:bidi w:val="0"/>
        <w:snapToGrid/>
        <w:spacing w:before="1" w:line="560" w:lineRule="exact"/>
        <w:ind w:left="776" w:right="48" w:rightChars="23" w:hanging="445"/>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施工设备和临时设施</w:t>
      </w:r>
    </w:p>
    <w:p w14:paraId="356939D3">
      <w:pPr>
        <w:pStyle w:val="196"/>
        <w:pageBreakBefore w:val="0"/>
        <w:numPr>
          <w:ilvl w:val="0"/>
          <w:numId w:val="0"/>
        </w:numPr>
        <w:tabs>
          <w:tab w:val="left" w:pos="993"/>
        </w:tabs>
        <w:kinsoku/>
        <w:overflowPunct/>
        <w:topLinePunct w:val="0"/>
        <w:bidi w:val="0"/>
        <w:snapToGrid/>
        <w:spacing w:before="0" w:after="0" w:line="560" w:lineRule="exact"/>
        <w:ind w:leftChars="200"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8.8.1</w:t>
      </w:r>
      <w:r>
        <w:rPr>
          <w:rFonts w:hint="eastAsia" w:ascii="宋体" w:hAnsi="宋体" w:eastAsia="宋体" w:cs="宋体"/>
          <w:color w:val="auto"/>
          <w:spacing w:val="-3"/>
          <w:sz w:val="28"/>
          <w:szCs w:val="28"/>
          <w:highlight w:val="none"/>
        </w:rPr>
        <w:t>承包人提供的施工设备和临时设施</w:t>
      </w:r>
    </w:p>
    <w:p w14:paraId="4685EB56">
      <w:pPr>
        <w:pStyle w:val="19"/>
        <w:pageBreakBefore w:val="0"/>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除专用合同条款另有约定的其他独立承包人和监理人指示的他人提供条件外，承包人运入施工场地的</w:t>
      </w:r>
      <w:r>
        <w:rPr>
          <w:rFonts w:hint="eastAsia" w:ascii="宋体" w:hAnsi="宋体" w:eastAsia="宋体" w:cs="宋体"/>
          <w:color w:val="auto"/>
          <w:spacing w:val="-5"/>
          <w:sz w:val="28"/>
          <w:szCs w:val="28"/>
          <w:highlight w:val="none"/>
        </w:rPr>
        <w:t>所有施工设备以及在施工场地建设的临时设施仅限于用于合同工程。承包人用于本工程的主要机械设</w:t>
      </w:r>
      <w:r>
        <w:rPr>
          <w:rFonts w:hint="eastAsia" w:ascii="宋体" w:hAnsi="宋体" w:eastAsia="宋体" w:cs="宋体"/>
          <w:color w:val="auto"/>
          <w:spacing w:val="-3"/>
          <w:sz w:val="28"/>
          <w:szCs w:val="28"/>
          <w:highlight w:val="none"/>
        </w:rPr>
        <w:t>备清单见合同附件</w:t>
      </w:r>
      <w:r>
        <w:rPr>
          <w:rFonts w:hint="eastAsia" w:ascii="宋体" w:hAnsi="宋体" w:eastAsia="宋体" w:cs="宋体"/>
          <w:color w:val="auto"/>
          <w:spacing w:val="-3"/>
          <w:sz w:val="28"/>
          <w:szCs w:val="28"/>
          <w:highlight w:val="none"/>
          <w:lang w:val="en-US" w:eastAsia="zh-CN"/>
        </w:rPr>
        <w:t xml:space="preserve"> 2</w:t>
      </w:r>
      <w:r>
        <w:rPr>
          <w:rFonts w:hint="eastAsia" w:ascii="宋体" w:hAnsi="宋体" w:eastAsia="宋体" w:cs="宋体"/>
          <w:color w:val="auto"/>
          <w:sz w:val="28"/>
          <w:szCs w:val="28"/>
          <w:highlight w:val="none"/>
        </w:rPr>
        <w:t>。</w:t>
      </w:r>
    </w:p>
    <w:p w14:paraId="46C33AB9">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关于修建临时设施费用承担的约定：</w:t>
      </w:r>
    </w:p>
    <w:p w14:paraId="1AD4F52F">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①承包人的临时用地（含项目部驻地等）租用费（含拆迁补偿）、临时用地的环保、恢复、临时用地的青苗补偿及地面附着物拆除等费用均由承包人负责，以上费用在投标报价中综合考虑。</w:t>
      </w:r>
    </w:p>
    <w:p w14:paraId="6515ED03">
      <w:pPr>
        <w:pStyle w:val="19"/>
        <w:pageBreakBefore w:val="0"/>
        <w:kinsoku/>
        <w:overflowPunct/>
        <w:topLinePunct w:val="0"/>
        <w:bidi w:val="0"/>
        <w:snapToGrid/>
        <w:spacing w:before="5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②承包人负责合同实施期间其合同段内临时交通道路（含场内外连接公共交通道路）和交通设施的修建、维修、养护和交通管理工作，并承担一切费用。</w:t>
      </w:r>
    </w:p>
    <w:p w14:paraId="0C44CFD6">
      <w:pPr>
        <w:pStyle w:val="19"/>
        <w:pageBreakBefore w:val="0"/>
        <w:kinsoku/>
        <w:overflowPunct/>
        <w:topLinePunct w:val="0"/>
        <w:bidi w:val="0"/>
        <w:snapToGrid/>
        <w:spacing w:before="7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42872A34">
      <w:pPr>
        <w:pStyle w:val="196"/>
        <w:pageBreakBefore w:val="0"/>
        <w:numPr>
          <w:ilvl w:val="0"/>
          <w:numId w:val="0"/>
        </w:numPr>
        <w:tabs>
          <w:tab w:val="left" w:pos="993"/>
        </w:tabs>
        <w:kinsoku/>
        <w:overflowPunct/>
        <w:topLinePunct w:val="0"/>
        <w:bidi w:val="0"/>
        <w:snapToGrid/>
        <w:spacing w:before="7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8.8.2</w:t>
      </w:r>
      <w:r>
        <w:rPr>
          <w:rFonts w:hint="eastAsia" w:ascii="宋体" w:hAnsi="宋体" w:eastAsia="宋体" w:cs="宋体"/>
          <w:color w:val="auto"/>
          <w:spacing w:val="-3"/>
          <w:sz w:val="28"/>
          <w:szCs w:val="28"/>
          <w:highlight w:val="none"/>
        </w:rPr>
        <w:t>发包人提供的施工设备和临时设施</w:t>
      </w:r>
    </w:p>
    <w:p w14:paraId="5D24A4A1">
      <w:pPr>
        <w:pStyle w:val="19"/>
        <w:pageBreakBefore w:val="0"/>
        <w:tabs>
          <w:tab w:val="left" w:pos="583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的施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设备</w:t>
      </w:r>
      <w:r>
        <w:rPr>
          <w:rFonts w:hint="eastAsia" w:ascii="宋体" w:hAnsi="宋体" w:eastAsia="宋体" w:cs="宋体"/>
          <w:color w:val="auto"/>
          <w:spacing w:val="-3"/>
          <w:sz w:val="28"/>
          <w:szCs w:val="28"/>
          <w:highlight w:val="none"/>
        </w:rPr>
        <w:t>和</w:t>
      </w:r>
      <w:r>
        <w:rPr>
          <w:rFonts w:hint="eastAsia" w:ascii="宋体" w:hAnsi="宋体" w:eastAsia="宋体" w:cs="宋体"/>
          <w:color w:val="auto"/>
          <w:sz w:val="28"/>
          <w:szCs w:val="28"/>
          <w:highlight w:val="none"/>
        </w:rPr>
        <w:t>临时</w:t>
      </w:r>
      <w:r>
        <w:rPr>
          <w:rFonts w:hint="eastAsia" w:ascii="宋体" w:hAnsi="宋体" w:eastAsia="宋体" w:cs="宋体"/>
          <w:color w:val="auto"/>
          <w:spacing w:val="-3"/>
          <w:sz w:val="28"/>
          <w:szCs w:val="28"/>
          <w:highlight w:val="none"/>
        </w:rPr>
        <w:t>设</w:t>
      </w:r>
      <w:r>
        <w:rPr>
          <w:rFonts w:hint="eastAsia" w:ascii="宋体" w:hAnsi="宋体" w:eastAsia="宋体" w:cs="宋体"/>
          <w:color w:val="auto"/>
          <w:sz w:val="28"/>
          <w:szCs w:val="28"/>
          <w:highlight w:val="none"/>
        </w:rPr>
        <w:t>施：</w:t>
      </w:r>
      <w:r>
        <w:rPr>
          <w:rFonts w:hint="eastAsia" w:ascii="宋体" w:hAnsi="宋体" w:eastAsia="宋体" w:cs="宋体"/>
          <w:color w:val="auto"/>
          <w:sz w:val="28"/>
          <w:szCs w:val="28"/>
          <w:highlight w:val="none"/>
          <w:u w:val="single"/>
          <w:lang w:val="en-US" w:eastAsia="zh-CN"/>
        </w:rPr>
        <w:t>/</w:t>
      </w:r>
    </w:p>
    <w:p w14:paraId="5D0E6A9E">
      <w:pPr>
        <w:pStyle w:val="19"/>
        <w:pageBreakBefore w:val="0"/>
        <w:tabs>
          <w:tab w:val="left" w:pos="946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供</w:t>
      </w:r>
      <w:r>
        <w:rPr>
          <w:rFonts w:hint="eastAsia" w:ascii="宋体" w:hAnsi="宋体" w:eastAsia="宋体" w:cs="宋体"/>
          <w:color w:val="auto"/>
          <w:sz w:val="28"/>
          <w:szCs w:val="28"/>
          <w:highlight w:val="none"/>
        </w:rPr>
        <w:t>的施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设备</w:t>
      </w:r>
      <w:r>
        <w:rPr>
          <w:rFonts w:hint="eastAsia" w:ascii="宋体" w:hAnsi="宋体" w:eastAsia="宋体" w:cs="宋体"/>
          <w:color w:val="auto"/>
          <w:spacing w:val="-3"/>
          <w:sz w:val="28"/>
          <w:szCs w:val="28"/>
          <w:highlight w:val="none"/>
        </w:rPr>
        <w:t>和</w:t>
      </w:r>
      <w:r>
        <w:rPr>
          <w:rFonts w:hint="eastAsia" w:ascii="宋体" w:hAnsi="宋体" w:eastAsia="宋体" w:cs="宋体"/>
          <w:color w:val="auto"/>
          <w:sz w:val="28"/>
          <w:szCs w:val="28"/>
          <w:highlight w:val="none"/>
        </w:rPr>
        <w:t>临时</w:t>
      </w:r>
      <w:r>
        <w:rPr>
          <w:rFonts w:hint="eastAsia" w:ascii="宋体" w:hAnsi="宋体" w:eastAsia="宋体" w:cs="宋体"/>
          <w:color w:val="auto"/>
          <w:spacing w:val="-3"/>
          <w:sz w:val="28"/>
          <w:szCs w:val="28"/>
          <w:highlight w:val="none"/>
        </w:rPr>
        <w:t>设</w:t>
      </w:r>
      <w:r>
        <w:rPr>
          <w:rFonts w:hint="eastAsia" w:ascii="宋体" w:hAnsi="宋体" w:eastAsia="宋体" w:cs="宋体"/>
          <w:color w:val="auto"/>
          <w:sz w:val="28"/>
          <w:szCs w:val="28"/>
          <w:highlight w:val="none"/>
        </w:rPr>
        <w:t>施的</w:t>
      </w:r>
      <w:r>
        <w:rPr>
          <w:rFonts w:hint="eastAsia" w:ascii="宋体" w:hAnsi="宋体" w:eastAsia="宋体" w:cs="宋体"/>
          <w:color w:val="auto"/>
          <w:spacing w:val="-3"/>
          <w:sz w:val="28"/>
          <w:szCs w:val="28"/>
          <w:highlight w:val="none"/>
        </w:rPr>
        <w:t>运</w:t>
      </w:r>
      <w:r>
        <w:rPr>
          <w:rFonts w:hint="eastAsia" w:ascii="宋体" w:hAnsi="宋体" w:eastAsia="宋体" w:cs="宋体"/>
          <w:color w:val="auto"/>
          <w:sz w:val="28"/>
          <w:szCs w:val="28"/>
          <w:highlight w:val="none"/>
        </w:rPr>
        <w:t>行、</w:t>
      </w:r>
      <w:r>
        <w:rPr>
          <w:rFonts w:hint="eastAsia" w:ascii="宋体" w:hAnsi="宋体" w:eastAsia="宋体" w:cs="宋体"/>
          <w:color w:val="auto"/>
          <w:spacing w:val="-3"/>
          <w:sz w:val="28"/>
          <w:szCs w:val="28"/>
          <w:highlight w:val="none"/>
        </w:rPr>
        <w:t>维</w:t>
      </w:r>
      <w:r>
        <w:rPr>
          <w:rFonts w:hint="eastAsia" w:ascii="宋体" w:hAnsi="宋体" w:eastAsia="宋体" w:cs="宋体"/>
          <w:color w:val="auto"/>
          <w:sz w:val="28"/>
          <w:szCs w:val="28"/>
          <w:highlight w:val="none"/>
        </w:rPr>
        <w:t>护、</w:t>
      </w:r>
      <w:r>
        <w:rPr>
          <w:rFonts w:hint="eastAsia" w:ascii="宋体" w:hAnsi="宋体" w:eastAsia="宋体" w:cs="宋体"/>
          <w:color w:val="auto"/>
          <w:spacing w:val="-3"/>
          <w:sz w:val="28"/>
          <w:szCs w:val="28"/>
          <w:highlight w:val="none"/>
        </w:rPr>
        <w:t>拆</w:t>
      </w:r>
      <w:r>
        <w:rPr>
          <w:rFonts w:hint="eastAsia" w:ascii="宋体" w:hAnsi="宋体" w:eastAsia="宋体" w:cs="宋体"/>
          <w:color w:val="auto"/>
          <w:sz w:val="28"/>
          <w:szCs w:val="28"/>
          <w:highlight w:val="none"/>
        </w:rPr>
        <w:t>除、</w:t>
      </w:r>
      <w:r>
        <w:rPr>
          <w:rFonts w:hint="eastAsia" w:ascii="宋体" w:hAnsi="宋体" w:eastAsia="宋体" w:cs="宋体"/>
          <w:color w:val="auto"/>
          <w:spacing w:val="-3"/>
          <w:sz w:val="28"/>
          <w:szCs w:val="28"/>
          <w:highlight w:val="none"/>
        </w:rPr>
        <w:t>清</w:t>
      </w:r>
      <w:r>
        <w:rPr>
          <w:rFonts w:hint="eastAsia" w:ascii="宋体" w:hAnsi="宋体" w:eastAsia="宋体" w:cs="宋体"/>
          <w:color w:val="auto"/>
          <w:sz w:val="28"/>
          <w:szCs w:val="28"/>
          <w:highlight w:val="none"/>
        </w:rPr>
        <w:t>运费</w:t>
      </w:r>
      <w:r>
        <w:rPr>
          <w:rFonts w:hint="eastAsia" w:ascii="宋体" w:hAnsi="宋体" w:eastAsia="宋体" w:cs="宋体"/>
          <w:color w:val="auto"/>
          <w:spacing w:val="-3"/>
          <w:sz w:val="28"/>
          <w:szCs w:val="28"/>
          <w:highlight w:val="none"/>
        </w:rPr>
        <w:t>用</w:t>
      </w:r>
      <w:r>
        <w:rPr>
          <w:rFonts w:hint="eastAsia" w:ascii="宋体" w:hAnsi="宋体" w:eastAsia="宋体" w:cs="宋体"/>
          <w:color w:val="auto"/>
          <w:sz w:val="28"/>
          <w:szCs w:val="28"/>
          <w:highlight w:val="none"/>
        </w:rPr>
        <w:t>的承</w:t>
      </w:r>
      <w:r>
        <w:rPr>
          <w:rFonts w:hint="eastAsia" w:ascii="宋体" w:hAnsi="宋体" w:eastAsia="宋体" w:cs="宋体"/>
          <w:color w:val="auto"/>
          <w:spacing w:val="-3"/>
          <w:sz w:val="28"/>
          <w:szCs w:val="28"/>
          <w:highlight w:val="none"/>
        </w:rPr>
        <w:t>担</w:t>
      </w:r>
      <w:r>
        <w:rPr>
          <w:rFonts w:hint="eastAsia" w:ascii="宋体" w:hAnsi="宋体" w:eastAsia="宋体" w:cs="宋体"/>
          <w:color w:val="auto"/>
          <w:sz w:val="28"/>
          <w:szCs w:val="28"/>
          <w:highlight w:val="none"/>
        </w:rPr>
        <w:t>人：</w:t>
      </w:r>
      <w:r>
        <w:rPr>
          <w:rFonts w:hint="eastAsia" w:ascii="宋体" w:hAnsi="宋体" w:eastAsia="宋体" w:cs="宋体"/>
          <w:color w:val="auto"/>
          <w:sz w:val="28"/>
          <w:szCs w:val="28"/>
          <w:highlight w:val="none"/>
          <w:u w:val="single"/>
          <w:lang w:val="en-US" w:eastAsia="zh-CN"/>
        </w:rPr>
        <w:t>/</w:t>
      </w:r>
    </w:p>
    <w:p w14:paraId="2666EE4B">
      <w:pPr>
        <w:pageBreakBefore w:val="0"/>
        <w:numPr>
          <w:ilvl w:val="0"/>
          <w:numId w:val="0"/>
        </w:numPr>
        <w:tabs>
          <w:tab w:val="left" w:pos="667"/>
        </w:tabs>
        <w:kinsoku/>
        <w:overflowPunct/>
        <w:topLinePunct w:val="0"/>
        <w:bidi w:val="0"/>
        <w:snapToGrid/>
        <w:spacing w:before="191" w:line="560" w:lineRule="exact"/>
        <w:ind w:left="331" w:leftChars="0" w:right="48" w:rightChars="23"/>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 xml:space="preserve"> 9.</w:t>
      </w:r>
      <w:r>
        <w:rPr>
          <w:rFonts w:hint="eastAsia" w:ascii="宋体" w:hAnsi="宋体" w:eastAsia="宋体" w:cs="宋体"/>
          <w:b/>
          <w:color w:val="auto"/>
          <w:sz w:val="28"/>
          <w:szCs w:val="28"/>
          <w:highlight w:val="none"/>
        </w:rPr>
        <w:t>试验与检验</w:t>
      </w:r>
    </w:p>
    <w:p w14:paraId="63457409">
      <w:pPr>
        <w:pageBreakBefore w:val="0"/>
        <w:numPr>
          <w:ilvl w:val="0"/>
          <w:numId w:val="0"/>
        </w:numPr>
        <w:tabs>
          <w:tab w:val="left" w:pos="777"/>
        </w:tabs>
        <w:kinsoku/>
        <w:overflowPunct/>
        <w:topLinePunct w:val="0"/>
        <w:bidi w:val="0"/>
        <w:snapToGrid/>
        <w:spacing w:before="0" w:line="560" w:lineRule="exact"/>
        <w:ind w:left="331" w:leftChars="0" w:right="48" w:rightChars="23"/>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9.1</w:t>
      </w:r>
      <w:r>
        <w:rPr>
          <w:rFonts w:hint="eastAsia" w:ascii="宋体" w:hAnsi="宋体" w:eastAsia="宋体" w:cs="宋体"/>
          <w:b/>
          <w:color w:val="auto"/>
          <w:sz w:val="28"/>
          <w:szCs w:val="28"/>
          <w:highlight w:val="none"/>
        </w:rPr>
        <w:t>试验设备与试验人员</w:t>
      </w:r>
    </w:p>
    <w:p w14:paraId="5D848838">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9.1.2 试验设备</w:t>
      </w:r>
    </w:p>
    <w:p w14:paraId="7B3F6BA4">
      <w:pPr>
        <w:pStyle w:val="19"/>
        <w:pageBreakBefore w:val="0"/>
        <w:tabs>
          <w:tab w:val="left" w:pos="4952"/>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现场</w:t>
      </w:r>
      <w:r>
        <w:rPr>
          <w:rFonts w:hint="eastAsia" w:ascii="宋体" w:hAnsi="宋体" w:eastAsia="宋体" w:cs="宋体"/>
          <w:color w:val="auto"/>
          <w:spacing w:val="-3"/>
          <w:sz w:val="28"/>
          <w:szCs w:val="28"/>
          <w:highlight w:val="none"/>
        </w:rPr>
        <w:t>需</w:t>
      </w:r>
      <w:r>
        <w:rPr>
          <w:rFonts w:hint="eastAsia" w:ascii="宋体" w:hAnsi="宋体" w:eastAsia="宋体" w:cs="宋体"/>
          <w:color w:val="auto"/>
          <w:sz w:val="28"/>
          <w:szCs w:val="28"/>
          <w:highlight w:val="none"/>
        </w:rPr>
        <w:t>要配</w:t>
      </w:r>
      <w:r>
        <w:rPr>
          <w:rFonts w:hint="eastAsia" w:ascii="宋体" w:hAnsi="宋体" w:eastAsia="宋体" w:cs="宋体"/>
          <w:color w:val="auto"/>
          <w:spacing w:val="-3"/>
          <w:sz w:val="28"/>
          <w:szCs w:val="28"/>
          <w:highlight w:val="none"/>
        </w:rPr>
        <w:t>置</w:t>
      </w:r>
      <w:r>
        <w:rPr>
          <w:rFonts w:hint="eastAsia" w:ascii="宋体" w:hAnsi="宋体" w:eastAsia="宋体" w:cs="宋体"/>
          <w:color w:val="auto"/>
          <w:sz w:val="28"/>
          <w:szCs w:val="28"/>
          <w:highlight w:val="none"/>
        </w:rPr>
        <w:t>的试</w:t>
      </w:r>
      <w:r>
        <w:rPr>
          <w:rFonts w:hint="eastAsia" w:ascii="宋体" w:hAnsi="宋体" w:eastAsia="宋体" w:cs="宋体"/>
          <w:color w:val="auto"/>
          <w:spacing w:val="-3"/>
          <w:sz w:val="28"/>
          <w:szCs w:val="28"/>
          <w:highlight w:val="none"/>
        </w:rPr>
        <w:t>验</w:t>
      </w:r>
      <w:r>
        <w:rPr>
          <w:rFonts w:hint="eastAsia" w:ascii="宋体" w:hAnsi="宋体" w:eastAsia="宋体" w:cs="宋体"/>
          <w:color w:val="auto"/>
          <w:sz w:val="28"/>
          <w:szCs w:val="28"/>
          <w:highlight w:val="none"/>
        </w:rPr>
        <w:t>场所：</w:t>
      </w:r>
      <w:r>
        <w:rPr>
          <w:rFonts w:hint="eastAsia" w:ascii="宋体" w:hAnsi="宋体" w:eastAsia="宋体" w:cs="宋体"/>
          <w:color w:val="auto"/>
          <w:sz w:val="28"/>
          <w:szCs w:val="28"/>
          <w:highlight w:val="none"/>
          <w:u w:val="single"/>
          <w:lang w:val="en-US" w:eastAsia="zh-CN"/>
        </w:rPr>
        <w:t>/</w:t>
      </w:r>
    </w:p>
    <w:p w14:paraId="0A22A094">
      <w:pPr>
        <w:pStyle w:val="19"/>
        <w:pageBreakBefore w:val="0"/>
        <w:tabs>
          <w:tab w:val="left" w:pos="5394"/>
          <w:tab w:val="left" w:pos="55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现场</w:t>
      </w:r>
      <w:r>
        <w:rPr>
          <w:rFonts w:hint="eastAsia" w:ascii="宋体" w:hAnsi="宋体" w:eastAsia="宋体" w:cs="宋体"/>
          <w:color w:val="auto"/>
          <w:spacing w:val="-3"/>
          <w:sz w:val="28"/>
          <w:szCs w:val="28"/>
          <w:highlight w:val="none"/>
        </w:rPr>
        <w:t>需</w:t>
      </w:r>
      <w:r>
        <w:rPr>
          <w:rFonts w:hint="eastAsia" w:ascii="宋体" w:hAnsi="宋体" w:eastAsia="宋体" w:cs="宋体"/>
          <w:color w:val="auto"/>
          <w:sz w:val="28"/>
          <w:szCs w:val="28"/>
          <w:highlight w:val="none"/>
        </w:rPr>
        <w:t>要配</w:t>
      </w:r>
      <w:r>
        <w:rPr>
          <w:rFonts w:hint="eastAsia" w:ascii="宋体" w:hAnsi="宋体" w:eastAsia="宋体" w:cs="宋体"/>
          <w:color w:val="auto"/>
          <w:spacing w:val="-3"/>
          <w:sz w:val="28"/>
          <w:szCs w:val="28"/>
          <w:highlight w:val="none"/>
        </w:rPr>
        <w:t>备</w:t>
      </w:r>
      <w:r>
        <w:rPr>
          <w:rFonts w:hint="eastAsia" w:ascii="宋体" w:hAnsi="宋体" w:eastAsia="宋体" w:cs="宋体"/>
          <w:color w:val="auto"/>
          <w:sz w:val="28"/>
          <w:szCs w:val="28"/>
          <w:highlight w:val="none"/>
        </w:rPr>
        <w:t>的试</w:t>
      </w:r>
      <w:r>
        <w:rPr>
          <w:rFonts w:hint="eastAsia" w:ascii="宋体" w:hAnsi="宋体" w:eastAsia="宋体" w:cs="宋体"/>
          <w:color w:val="auto"/>
          <w:spacing w:val="-3"/>
          <w:sz w:val="28"/>
          <w:szCs w:val="28"/>
          <w:highlight w:val="none"/>
        </w:rPr>
        <w:t>验</w:t>
      </w:r>
      <w:r>
        <w:rPr>
          <w:rFonts w:hint="eastAsia" w:ascii="宋体" w:hAnsi="宋体" w:eastAsia="宋体" w:cs="宋体"/>
          <w:color w:val="auto"/>
          <w:sz w:val="28"/>
          <w:szCs w:val="28"/>
          <w:highlight w:val="none"/>
        </w:rPr>
        <w:t>设备：</w:t>
      </w:r>
      <w:r>
        <w:rPr>
          <w:rFonts w:hint="eastAsia" w:ascii="宋体" w:hAnsi="宋体" w:eastAsia="宋体" w:cs="宋体"/>
          <w:color w:val="auto"/>
          <w:sz w:val="28"/>
          <w:szCs w:val="28"/>
          <w:highlight w:val="none"/>
          <w:u w:val="single"/>
          <w:lang w:val="en-US" w:eastAsia="zh-CN"/>
        </w:rPr>
        <w:t>/</w:t>
      </w:r>
    </w:p>
    <w:p w14:paraId="22B282ED">
      <w:pPr>
        <w:pStyle w:val="19"/>
        <w:pageBreakBefore w:val="0"/>
        <w:tabs>
          <w:tab w:val="left" w:pos="5394"/>
          <w:tab w:val="left" w:pos="550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现场</w:t>
      </w:r>
      <w:r>
        <w:rPr>
          <w:rFonts w:hint="eastAsia" w:ascii="宋体" w:hAnsi="宋体" w:eastAsia="宋体" w:cs="宋体"/>
          <w:color w:val="auto"/>
          <w:spacing w:val="-3"/>
          <w:sz w:val="28"/>
          <w:szCs w:val="28"/>
          <w:highlight w:val="none"/>
        </w:rPr>
        <w:t>需</w:t>
      </w:r>
      <w:r>
        <w:rPr>
          <w:rFonts w:hint="eastAsia" w:ascii="宋体" w:hAnsi="宋体" w:eastAsia="宋体" w:cs="宋体"/>
          <w:color w:val="auto"/>
          <w:sz w:val="28"/>
          <w:szCs w:val="28"/>
          <w:highlight w:val="none"/>
        </w:rPr>
        <w:t>要具</w:t>
      </w:r>
      <w:r>
        <w:rPr>
          <w:rFonts w:hint="eastAsia" w:ascii="宋体" w:hAnsi="宋体" w:eastAsia="宋体" w:cs="宋体"/>
          <w:color w:val="auto"/>
          <w:spacing w:val="-3"/>
          <w:sz w:val="28"/>
          <w:szCs w:val="28"/>
          <w:highlight w:val="none"/>
        </w:rPr>
        <w:t>备</w:t>
      </w:r>
      <w:r>
        <w:rPr>
          <w:rFonts w:hint="eastAsia" w:ascii="宋体" w:hAnsi="宋体" w:eastAsia="宋体" w:cs="宋体"/>
          <w:color w:val="auto"/>
          <w:sz w:val="28"/>
          <w:szCs w:val="28"/>
          <w:highlight w:val="none"/>
        </w:rPr>
        <w:t>的其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试验</w:t>
      </w:r>
      <w:r>
        <w:rPr>
          <w:rFonts w:hint="eastAsia" w:ascii="宋体" w:hAnsi="宋体" w:eastAsia="宋体" w:cs="宋体"/>
          <w:color w:val="auto"/>
          <w:spacing w:val="-3"/>
          <w:sz w:val="28"/>
          <w:szCs w:val="28"/>
          <w:highlight w:val="none"/>
        </w:rPr>
        <w:t>条</w:t>
      </w:r>
      <w:r>
        <w:rPr>
          <w:rFonts w:hint="eastAsia" w:ascii="宋体" w:hAnsi="宋体" w:eastAsia="宋体" w:cs="宋体"/>
          <w:color w:val="auto"/>
          <w:sz w:val="28"/>
          <w:szCs w:val="28"/>
          <w:highlight w:val="none"/>
        </w:rPr>
        <w:t>件：</w:t>
      </w:r>
      <w:r>
        <w:rPr>
          <w:rFonts w:hint="eastAsia" w:ascii="宋体" w:hAnsi="宋体" w:eastAsia="宋体" w:cs="宋体"/>
          <w:color w:val="auto"/>
          <w:sz w:val="28"/>
          <w:szCs w:val="28"/>
          <w:highlight w:val="none"/>
          <w:u w:val="single"/>
          <w:lang w:val="en-US" w:eastAsia="zh-CN"/>
        </w:rPr>
        <w:t>/</w:t>
      </w:r>
    </w:p>
    <w:p w14:paraId="43BA04CB">
      <w:pPr>
        <w:pageBreakBefore w:val="0"/>
        <w:numPr>
          <w:ilvl w:val="1"/>
          <w:numId w:val="16"/>
        </w:numPr>
        <w:tabs>
          <w:tab w:val="left" w:pos="777"/>
        </w:tabs>
        <w:kinsoku/>
        <w:overflowPunct/>
        <w:topLinePunct w:val="0"/>
        <w:bidi w:val="0"/>
        <w:snapToGrid/>
        <w:spacing w:before="0" w:line="560" w:lineRule="exact"/>
        <w:ind w:left="776" w:right="48" w:rightChars="23" w:hanging="445"/>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现场工艺试验</w:t>
      </w:r>
    </w:p>
    <w:p w14:paraId="4CF59DC3">
      <w:pPr>
        <w:pStyle w:val="19"/>
        <w:pageBreakBefore w:val="0"/>
        <w:tabs>
          <w:tab w:val="left" w:pos="495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现</w:t>
      </w:r>
      <w:r>
        <w:rPr>
          <w:rFonts w:hint="eastAsia" w:ascii="宋体" w:hAnsi="宋体" w:eastAsia="宋体" w:cs="宋体"/>
          <w:color w:val="auto"/>
          <w:spacing w:val="-3"/>
          <w:sz w:val="28"/>
          <w:szCs w:val="28"/>
          <w:highlight w:val="none"/>
        </w:rPr>
        <w:t>场</w:t>
      </w:r>
      <w:r>
        <w:rPr>
          <w:rFonts w:hint="eastAsia" w:ascii="宋体" w:hAnsi="宋体" w:eastAsia="宋体" w:cs="宋体"/>
          <w:color w:val="auto"/>
          <w:sz w:val="28"/>
          <w:szCs w:val="28"/>
          <w:highlight w:val="none"/>
        </w:rPr>
        <w:t>工艺</w:t>
      </w:r>
      <w:r>
        <w:rPr>
          <w:rFonts w:hint="eastAsia" w:ascii="宋体" w:hAnsi="宋体" w:eastAsia="宋体" w:cs="宋体"/>
          <w:color w:val="auto"/>
          <w:spacing w:val="-3"/>
          <w:sz w:val="28"/>
          <w:szCs w:val="28"/>
          <w:highlight w:val="none"/>
        </w:rPr>
        <w:t>试</w:t>
      </w:r>
      <w:r>
        <w:rPr>
          <w:rFonts w:hint="eastAsia" w:ascii="宋体" w:hAnsi="宋体" w:eastAsia="宋体" w:cs="宋体"/>
          <w:color w:val="auto"/>
          <w:sz w:val="28"/>
          <w:szCs w:val="28"/>
          <w:highlight w:val="none"/>
        </w:rPr>
        <w:t>验的</w:t>
      </w:r>
      <w:r>
        <w:rPr>
          <w:rFonts w:hint="eastAsia" w:ascii="宋体" w:hAnsi="宋体" w:eastAsia="宋体" w:cs="宋体"/>
          <w:color w:val="auto"/>
          <w:spacing w:val="-3"/>
          <w:sz w:val="28"/>
          <w:szCs w:val="28"/>
          <w:highlight w:val="none"/>
        </w:rPr>
        <w:t>有</w:t>
      </w:r>
      <w:r>
        <w:rPr>
          <w:rFonts w:hint="eastAsia" w:ascii="宋体" w:hAnsi="宋体" w:eastAsia="宋体" w:cs="宋体"/>
          <w:color w:val="auto"/>
          <w:sz w:val="28"/>
          <w:szCs w:val="28"/>
          <w:highlight w:val="none"/>
        </w:rPr>
        <w:t>关约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0A565C61">
      <w:pPr>
        <w:pageBreakBefore w:val="0"/>
        <w:numPr>
          <w:ilvl w:val="1"/>
          <w:numId w:val="16"/>
        </w:numPr>
        <w:tabs>
          <w:tab w:val="left" w:pos="777"/>
        </w:tabs>
        <w:kinsoku/>
        <w:overflowPunct/>
        <w:topLinePunct w:val="0"/>
        <w:bidi w:val="0"/>
        <w:snapToGrid/>
        <w:spacing w:before="191" w:line="560" w:lineRule="exact"/>
        <w:ind w:left="776" w:right="48" w:rightChars="23" w:hanging="445"/>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检验费用</w:t>
      </w:r>
    </w:p>
    <w:p w14:paraId="60032C15">
      <w:pPr>
        <w:pStyle w:val="19"/>
        <w:pageBreakBefore w:val="0"/>
        <w:kinsoku/>
        <w:overflowPunct/>
        <w:topLinePunct w:val="0"/>
        <w:bidi w:val="0"/>
        <w:snapToGrid/>
        <w:spacing w:line="560" w:lineRule="exact"/>
        <w:ind w:left="332"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rPr>
        <w:t>根据《建设工程质量检测管理办法》</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11"/>
          <w:sz w:val="28"/>
          <w:szCs w:val="28"/>
          <w:highlight w:val="none"/>
        </w:rPr>
        <w:t xml:space="preserve">建设部令第 </w:t>
      </w:r>
      <w:r>
        <w:rPr>
          <w:rFonts w:hint="eastAsia" w:ascii="宋体" w:hAnsi="宋体" w:eastAsia="宋体" w:cs="宋体"/>
          <w:color w:val="auto"/>
          <w:sz w:val="28"/>
          <w:szCs w:val="28"/>
          <w:highlight w:val="none"/>
        </w:rPr>
        <w:t>141</w:t>
      </w:r>
      <w:r>
        <w:rPr>
          <w:rFonts w:hint="eastAsia" w:ascii="宋体" w:hAnsi="宋体" w:eastAsia="宋体" w:cs="宋体"/>
          <w:color w:val="auto"/>
          <w:spacing w:val="-24"/>
          <w:sz w:val="28"/>
          <w:szCs w:val="28"/>
          <w:highlight w:val="none"/>
        </w:rPr>
        <w:t xml:space="preserve"> 号</w:t>
      </w:r>
      <w:r>
        <w:rPr>
          <w:rFonts w:hint="eastAsia" w:ascii="宋体" w:hAnsi="宋体" w:eastAsia="宋体" w:cs="宋体"/>
          <w:color w:val="auto"/>
          <w:spacing w:val="-10"/>
          <w:sz w:val="28"/>
          <w:szCs w:val="28"/>
          <w:highlight w:val="none"/>
        </w:rPr>
        <w:t>）</w:t>
      </w:r>
      <w:r>
        <w:rPr>
          <w:rFonts w:hint="eastAsia" w:ascii="宋体" w:hAnsi="宋体" w:eastAsia="宋体" w:cs="宋体"/>
          <w:color w:val="auto"/>
          <w:spacing w:val="-3"/>
          <w:sz w:val="28"/>
          <w:szCs w:val="28"/>
          <w:highlight w:val="none"/>
        </w:rPr>
        <w:t>以及《广西壮族自治区建设工程质量检测</w:t>
      </w:r>
      <w:r>
        <w:rPr>
          <w:rFonts w:hint="eastAsia" w:ascii="宋体" w:hAnsi="宋体" w:eastAsia="宋体" w:cs="宋体"/>
          <w:color w:val="auto"/>
          <w:spacing w:val="-8"/>
          <w:sz w:val="28"/>
          <w:szCs w:val="28"/>
          <w:highlight w:val="none"/>
        </w:rPr>
        <w:t>管理规定》</w:t>
      </w:r>
      <w:r>
        <w:rPr>
          <w:rFonts w:hint="eastAsia" w:ascii="宋体" w:hAnsi="宋体" w:eastAsia="宋体" w:cs="宋体"/>
          <w:color w:val="auto"/>
          <w:sz w:val="28"/>
          <w:szCs w:val="28"/>
          <w:highlight w:val="none"/>
        </w:rPr>
        <w:t>（</w:t>
      </w:r>
      <w:r>
        <w:rPr>
          <w:rFonts w:hint="eastAsia" w:ascii="宋体" w:hAnsi="宋体" w:eastAsia="宋体" w:cs="宋体"/>
          <w:color w:val="auto"/>
          <w:spacing w:val="-6"/>
          <w:sz w:val="28"/>
          <w:szCs w:val="28"/>
          <w:highlight w:val="none"/>
        </w:rPr>
        <w:t>桂建管〔</w:t>
      </w:r>
      <w:r>
        <w:rPr>
          <w:rFonts w:hint="eastAsia" w:ascii="宋体" w:hAnsi="宋体" w:eastAsia="宋体" w:cs="宋体"/>
          <w:color w:val="auto"/>
          <w:sz w:val="28"/>
          <w:szCs w:val="28"/>
          <w:highlight w:val="none"/>
        </w:rPr>
        <w:t>2013</w:t>
      </w:r>
      <w:r>
        <w:rPr>
          <w:rFonts w:hint="eastAsia" w:ascii="宋体" w:hAnsi="宋体" w:eastAsia="宋体" w:cs="宋体"/>
          <w:color w:val="auto"/>
          <w:spacing w:val="-17"/>
          <w:sz w:val="28"/>
          <w:szCs w:val="28"/>
          <w:highlight w:val="none"/>
        </w:rPr>
        <w:t>〕</w:t>
      </w:r>
      <w:r>
        <w:rPr>
          <w:rFonts w:hint="eastAsia" w:ascii="宋体" w:hAnsi="宋体" w:eastAsia="宋体" w:cs="宋体"/>
          <w:color w:val="auto"/>
          <w:sz w:val="28"/>
          <w:szCs w:val="28"/>
          <w:highlight w:val="none"/>
        </w:rPr>
        <w:t>11</w:t>
      </w:r>
      <w:r>
        <w:rPr>
          <w:rFonts w:hint="eastAsia" w:ascii="宋体" w:hAnsi="宋体" w:eastAsia="宋体" w:cs="宋体"/>
          <w:color w:val="auto"/>
          <w:spacing w:val="-24"/>
          <w:sz w:val="28"/>
          <w:szCs w:val="28"/>
          <w:highlight w:val="none"/>
        </w:rPr>
        <w:t xml:space="preserve"> 号</w:t>
      </w:r>
      <w:r>
        <w:rPr>
          <w:rFonts w:hint="eastAsia" w:ascii="宋体" w:hAnsi="宋体" w:eastAsia="宋体" w:cs="宋体"/>
          <w:color w:val="auto"/>
          <w:spacing w:val="-17"/>
          <w:sz w:val="28"/>
          <w:szCs w:val="28"/>
          <w:highlight w:val="none"/>
        </w:rPr>
        <w:t>）</w:t>
      </w:r>
      <w:r>
        <w:rPr>
          <w:rFonts w:hint="eastAsia" w:ascii="宋体" w:hAnsi="宋体" w:eastAsia="宋体" w:cs="宋体"/>
          <w:color w:val="auto"/>
          <w:spacing w:val="-5"/>
          <w:sz w:val="28"/>
          <w:szCs w:val="28"/>
          <w:highlight w:val="none"/>
        </w:rPr>
        <w:t>规定</w:t>
      </w:r>
      <w:r>
        <w:rPr>
          <w:rFonts w:hint="eastAsia" w:ascii="宋体" w:hAnsi="宋体" w:eastAsia="宋体" w:cs="宋体"/>
          <w:color w:val="auto"/>
          <w:spacing w:val="-5"/>
          <w:sz w:val="28"/>
          <w:szCs w:val="28"/>
          <w:highlight w:val="none"/>
          <w:lang w:val="en-US" w:eastAsia="zh-CN"/>
        </w:rPr>
        <w:t>执行</w:t>
      </w:r>
      <w:r>
        <w:rPr>
          <w:rFonts w:hint="eastAsia" w:ascii="宋体" w:hAnsi="宋体" w:eastAsia="宋体" w:cs="宋体"/>
          <w:color w:val="auto"/>
          <w:spacing w:val="-5"/>
          <w:sz w:val="28"/>
          <w:szCs w:val="28"/>
          <w:highlight w:val="none"/>
          <w:lang w:eastAsia="zh-CN"/>
        </w:rPr>
        <w:t>。</w:t>
      </w:r>
    </w:p>
    <w:p w14:paraId="6989C232">
      <w:pPr>
        <w:pageBreakBefore w:val="0"/>
        <w:numPr>
          <w:ilvl w:val="0"/>
          <w:numId w:val="0"/>
        </w:numPr>
        <w:tabs>
          <w:tab w:val="left" w:pos="777"/>
        </w:tabs>
        <w:kinsoku/>
        <w:overflowPunct/>
        <w:topLinePunct w:val="0"/>
        <w:bidi w:val="0"/>
        <w:snapToGrid/>
        <w:spacing w:before="0" w:line="560" w:lineRule="exact"/>
        <w:ind w:left="331" w:leftChars="0" w:right="48" w:rightChars="23"/>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 xml:space="preserve">10 </w:t>
      </w:r>
      <w:r>
        <w:rPr>
          <w:rFonts w:hint="eastAsia" w:ascii="宋体" w:hAnsi="宋体" w:eastAsia="宋体" w:cs="宋体"/>
          <w:b/>
          <w:color w:val="auto"/>
          <w:sz w:val="28"/>
          <w:szCs w:val="28"/>
          <w:highlight w:val="none"/>
        </w:rPr>
        <w:t>变更</w:t>
      </w:r>
    </w:p>
    <w:p w14:paraId="3C8DB69C">
      <w:pPr>
        <w:pageBreakBefore w:val="0"/>
        <w:numPr>
          <w:ilvl w:val="0"/>
          <w:numId w:val="0"/>
        </w:numPr>
        <w:tabs>
          <w:tab w:val="left" w:pos="888"/>
        </w:tabs>
        <w:kinsoku/>
        <w:overflowPunct/>
        <w:topLinePunct w:val="0"/>
        <w:bidi w:val="0"/>
        <w:snapToGrid/>
        <w:spacing w:before="0" w:line="560" w:lineRule="exact"/>
        <w:ind w:left="331" w:leftChars="0" w:right="48" w:rightChars="23"/>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10.1</w:t>
      </w:r>
      <w:r>
        <w:rPr>
          <w:rFonts w:hint="eastAsia" w:ascii="宋体" w:hAnsi="宋体" w:eastAsia="宋体" w:cs="宋体"/>
          <w:b/>
          <w:color w:val="auto"/>
          <w:sz w:val="28"/>
          <w:szCs w:val="28"/>
          <w:highlight w:val="none"/>
        </w:rPr>
        <w:t>变更的范围</w:t>
      </w:r>
    </w:p>
    <w:p w14:paraId="6408B47D">
      <w:pPr>
        <w:pageBreakBefore w:val="0"/>
        <w:numPr>
          <w:ilvl w:val="1"/>
          <w:numId w:val="17"/>
        </w:numPr>
        <w:tabs>
          <w:tab w:val="left" w:pos="888"/>
        </w:tabs>
        <w:kinsoku/>
        <w:overflowPunct/>
        <w:topLinePunct w:val="0"/>
        <w:bidi w:val="0"/>
        <w:snapToGrid/>
        <w:spacing w:before="5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变更程序</w:t>
      </w:r>
    </w:p>
    <w:p w14:paraId="53DC0634">
      <w:pPr>
        <w:pStyle w:val="196"/>
        <w:pageBreakBefore w:val="0"/>
        <w:numPr>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cs="宋体"/>
          <w:color w:val="auto"/>
          <w:spacing w:val="-3"/>
          <w:sz w:val="28"/>
          <w:szCs w:val="28"/>
          <w:highlight w:val="none"/>
          <w:lang w:val="en-US" w:eastAsia="zh-CN"/>
        </w:rPr>
        <w:t>10.3.1</w:t>
      </w:r>
      <w:r>
        <w:rPr>
          <w:rFonts w:hint="eastAsia" w:ascii="宋体" w:hAnsi="宋体" w:eastAsia="宋体" w:cs="宋体"/>
          <w:color w:val="auto"/>
          <w:spacing w:val="-3"/>
          <w:sz w:val="28"/>
          <w:szCs w:val="28"/>
          <w:highlight w:val="none"/>
        </w:rPr>
        <w:t>政府及国有投资项目：</w:t>
      </w:r>
    </w:p>
    <w:p w14:paraId="4EE1E4BF">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⑴设计变更和工程签证，按各市政府或相关部门的规定办理。属不可抗力（自然灾害、突发事件等） 造成变更的，按特事特办原则予以办理。</w:t>
      </w:r>
    </w:p>
    <w:p w14:paraId="559896D9">
      <w:pPr>
        <w:pStyle w:val="19"/>
        <w:pageBreakBefore w:val="0"/>
        <w:kinsoku/>
        <w:overflowPunct/>
        <w:topLinePunct w:val="0"/>
        <w:bidi w:val="0"/>
        <w:snapToGrid/>
        <w:spacing w:before="2"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7"/>
          <w:sz w:val="28"/>
          <w:szCs w:val="28"/>
          <w:highlight w:val="none"/>
        </w:rPr>
        <w:t>⑵建设单位在实施项目过程中，若发生单价变动，由建设单位、监理单位、施工单位及其他相关单位</w:t>
      </w:r>
      <w:r>
        <w:rPr>
          <w:rFonts w:hint="eastAsia" w:ascii="宋体" w:hAnsi="宋体" w:eastAsia="宋体" w:cs="宋体"/>
          <w:color w:val="auto"/>
          <w:spacing w:val="-3"/>
          <w:sz w:val="28"/>
          <w:szCs w:val="28"/>
          <w:highlight w:val="none"/>
        </w:rPr>
        <w:t>共同商定并签字确认。</w:t>
      </w:r>
    </w:p>
    <w:p w14:paraId="2FDDF02E">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⑶ 当合同规定的合同价款调整情况发生后，承包人未在规定时间内通知发包人，或者未在规定时间内提出调整报告，发包人可以根据有关资料，决定是否调整和调整的金额，并书面通知承包人。</w:t>
      </w:r>
    </w:p>
    <w:p w14:paraId="7AF93585">
      <w:pPr>
        <w:pStyle w:val="196"/>
        <w:pageBreakBefore w:val="0"/>
        <w:numPr>
          <w:numId w:val="0"/>
        </w:numPr>
        <w:tabs>
          <w:tab w:val="left" w:pos="1104"/>
          <w:tab w:val="left" w:pos="517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10.3.2</w:t>
      </w:r>
      <w:r>
        <w:rPr>
          <w:rFonts w:hint="eastAsia" w:ascii="宋体" w:hAnsi="宋体" w:eastAsia="宋体" w:cs="宋体"/>
          <w:color w:val="auto"/>
          <w:sz w:val="28"/>
          <w:szCs w:val="28"/>
          <w:highlight w:val="none"/>
        </w:rPr>
        <w:t>非</w:t>
      </w:r>
      <w:r>
        <w:rPr>
          <w:rFonts w:hint="eastAsia" w:ascii="宋体" w:hAnsi="宋体" w:eastAsia="宋体" w:cs="宋体"/>
          <w:color w:val="auto"/>
          <w:spacing w:val="-3"/>
          <w:sz w:val="28"/>
          <w:szCs w:val="28"/>
          <w:highlight w:val="none"/>
        </w:rPr>
        <w:t>国</w:t>
      </w:r>
      <w:r>
        <w:rPr>
          <w:rFonts w:hint="eastAsia" w:ascii="宋体" w:hAnsi="宋体" w:eastAsia="宋体" w:cs="宋体"/>
          <w:color w:val="auto"/>
          <w:sz w:val="28"/>
          <w:szCs w:val="28"/>
          <w:highlight w:val="none"/>
        </w:rPr>
        <w:t>有投</w:t>
      </w:r>
      <w:r>
        <w:rPr>
          <w:rFonts w:hint="eastAsia" w:ascii="宋体" w:hAnsi="宋体" w:eastAsia="宋体" w:cs="宋体"/>
          <w:color w:val="auto"/>
          <w:spacing w:val="-3"/>
          <w:sz w:val="28"/>
          <w:szCs w:val="28"/>
          <w:highlight w:val="none"/>
        </w:rPr>
        <w:t>资</w:t>
      </w:r>
      <w:r>
        <w:rPr>
          <w:rFonts w:hint="eastAsia" w:ascii="宋体" w:hAnsi="宋体" w:eastAsia="宋体" w:cs="宋体"/>
          <w:color w:val="auto"/>
          <w:sz w:val="28"/>
          <w:szCs w:val="28"/>
          <w:highlight w:val="none"/>
        </w:rPr>
        <w:t>项目：</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4B6C89C8">
      <w:pPr>
        <w:pageBreakBefore w:val="0"/>
        <w:numPr>
          <w:ilvl w:val="1"/>
          <w:numId w:val="17"/>
        </w:numPr>
        <w:tabs>
          <w:tab w:val="left" w:pos="888"/>
        </w:tabs>
        <w:kinsoku/>
        <w:overflowPunct/>
        <w:topLinePunct w:val="0"/>
        <w:bidi w:val="0"/>
        <w:snapToGrid/>
        <w:spacing w:before="187"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变更估价</w:t>
      </w:r>
    </w:p>
    <w:p w14:paraId="5FE9DC03">
      <w:pPr>
        <w:pStyle w:val="196"/>
        <w:pageBreakBefore w:val="0"/>
        <w:numPr>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cs="宋体"/>
          <w:color w:val="auto"/>
          <w:spacing w:val="-3"/>
          <w:sz w:val="28"/>
          <w:szCs w:val="28"/>
          <w:highlight w:val="none"/>
          <w:lang w:val="en-US" w:eastAsia="zh-CN"/>
        </w:rPr>
        <w:t>10.4.1</w:t>
      </w:r>
      <w:r>
        <w:rPr>
          <w:rFonts w:hint="eastAsia" w:ascii="宋体" w:hAnsi="宋体" w:eastAsia="宋体" w:cs="宋体"/>
          <w:color w:val="auto"/>
          <w:spacing w:val="-3"/>
          <w:sz w:val="28"/>
          <w:szCs w:val="28"/>
          <w:highlight w:val="none"/>
        </w:rPr>
        <w:t>变更估价原则</w:t>
      </w:r>
    </w:p>
    <w:p w14:paraId="46A1B732">
      <w:pPr>
        <w:pStyle w:val="19"/>
        <w:keepNext w:val="0"/>
        <w:keepLines w:val="0"/>
        <w:pageBreakBefore w:val="0"/>
        <w:widowControl w:val="0"/>
        <w:kinsoku/>
        <w:wordWrap/>
        <w:overflowPunct/>
        <w:topLinePunct w:val="0"/>
        <w:autoSpaceDE w:val="0"/>
        <w:autoSpaceDN w:val="0"/>
        <w:bidi w:val="0"/>
        <w:adjustRightInd w:val="0"/>
        <w:snapToGrid/>
        <w:spacing w:line="560" w:lineRule="exact"/>
        <w:ind w:left="334"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关于变更估价的约定: </w:t>
      </w:r>
      <w:r>
        <w:rPr>
          <w:rFonts w:hint="eastAsia" w:ascii="宋体" w:hAnsi="宋体" w:eastAsia="宋体" w:cs="宋体"/>
          <w:color w:val="auto"/>
          <w:sz w:val="28"/>
          <w:szCs w:val="28"/>
          <w:highlight w:val="none"/>
          <w:u w:val="single"/>
        </w:rPr>
        <w:t>因分部分项工程量清单漏项、设计变更、相关签证引起工程项目、工程量任何变化的，变更合同价款按下列方法进行：（1）合同中已有相同清单项目的，按合同该清单项目价格</w:t>
      </w:r>
      <w:r>
        <w:rPr>
          <w:rFonts w:hint="eastAsia" w:ascii="宋体" w:hAnsi="宋体" w:eastAsia="宋体" w:cs="宋体"/>
          <w:color w:val="auto"/>
          <w:spacing w:val="-3"/>
          <w:sz w:val="28"/>
          <w:szCs w:val="28"/>
          <w:highlight w:val="none"/>
          <w:u w:val="single"/>
        </w:rPr>
        <w:t>进行计算；</w:t>
      </w:r>
      <w:r>
        <w:rPr>
          <w:rFonts w:hint="eastAsia" w:ascii="宋体" w:hAnsi="宋体" w:eastAsia="宋体" w:cs="宋体"/>
          <w:color w:val="auto"/>
          <w:spacing w:val="-6"/>
          <w:sz w:val="28"/>
          <w:szCs w:val="28"/>
          <w:highlight w:val="none"/>
          <w:u w:val="single"/>
        </w:rPr>
        <w:t>（2）</w:t>
      </w:r>
      <w:r>
        <w:rPr>
          <w:rFonts w:hint="eastAsia" w:ascii="宋体" w:hAnsi="宋体" w:eastAsia="宋体" w:cs="宋体"/>
          <w:color w:val="auto"/>
          <w:spacing w:val="-5"/>
          <w:sz w:val="28"/>
          <w:szCs w:val="28"/>
          <w:highlight w:val="none"/>
          <w:u w:val="single"/>
        </w:rPr>
        <w:t>合同中只有类似清单项目的，参照该类似清单项目价格进行计算；（3）</w:t>
      </w:r>
      <w:r>
        <w:rPr>
          <w:rFonts w:hint="eastAsia" w:ascii="宋体" w:hAnsi="宋体" w:eastAsia="宋体" w:cs="宋体"/>
          <w:color w:val="auto"/>
          <w:spacing w:val="-2"/>
          <w:sz w:val="28"/>
          <w:szCs w:val="28"/>
          <w:highlight w:val="none"/>
          <w:u w:val="single"/>
        </w:rPr>
        <w:t>合同中没有</w:t>
      </w:r>
      <w:r>
        <w:rPr>
          <w:rFonts w:hint="eastAsia" w:ascii="宋体" w:hAnsi="宋体" w:eastAsia="宋体" w:cs="宋体"/>
          <w:color w:val="auto"/>
          <w:spacing w:val="-5"/>
          <w:sz w:val="28"/>
          <w:szCs w:val="28"/>
          <w:highlight w:val="none"/>
          <w:u w:val="single"/>
        </w:rPr>
        <w:t>使用或类似清单项目的价格计算方法：有定额的套定额</w:t>
      </w:r>
      <w:r>
        <w:rPr>
          <w:rFonts w:hint="eastAsia" w:ascii="宋体" w:hAnsi="宋体" w:eastAsia="宋体" w:cs="宋体"/>
          <w:color w:val="auto"/>
          <w:spacing w:val="-3"/>
          <w:sz w:val="28"/>
          <w:szCs w:val="28"/>
          <w:highlight w:val="none"/>
          <w:u w:val="single"/>
        </w:rPr>
        <w:t>（土石方工程除外</w:t>
      </w:r>
      <w:r>
        <w:rPr>
          <w:rFonts w:hint="eastAsia" w:ascii="宋体" w:hAnsi="宋体" w:eastAsia="宋体" w:cs="宋体"/>
          <w:color w:val="auto"/>
          <w:spacing w:val="-10"/>
          <w:sz w:val="28"/>
          <w:szCs w:val="28"/>
          <w:highlight w:val="none"/>
          <w:u w:val="single"/>
        </w:rPr>
        <w:t>）</w:t>
      </w:r>
      <w:r>
        <w:rPr>
          <w:rFonts w:hint="eastAsia" w:ascii="宋体" w:hAnsi="宋体" w:eastAsia="宋体" w:cs="宋体"/>
          <w:color w:val="auto"/>
          <w:spacing w:val="-4"/>
          <w:sz w:val="28"/>
          <w:szCs w:val="28"/>
          <w:highlight w:val="none"/>
          <w:u w:val="single"/>
        </w:rPr>
        <w:t>计算，其中材料价格按施</w:t>
      </w:r>
      <w:r>
        <w:rPr>
          <w:rFonts w:hint="eastAsia" w:ascii="宋体" w:hAnsi="宋体" w:eastAsia="宋体" w:cs="宋体"/>
          <w:color w:val="auto"/>
          <w:spacing w:val="-5"/>
          <w:sz w:val="28"/>
          <w:szCs w:val="28"/>
          <w:highlight w:val="none"/>
          <w:u w:val="single"/>
        </w:rPr>
        <w:t>工期间的《</w:t>
      </w:r>
      <w:r>
        <w:rPr>
          <w:rFonts w:hint="eastAsia" w:ascii="宋体" w:hAnsi="宋体" w:eastAsia="宋体" w:cs="宋体"/>
          <w:color w:val="auto"/>
          <w:spacing w:val="-5"/>
          <w:sz w:val="28"/>
          <w:szCs w:val="28"/>
          <w:highlight w:val="none"/>
          <w:u w:val="single"/>
          <w:lang w:eastAsia="zh-CN"/>
        </w:rPr>
        <w:t>崇左</w:t>
      </w:r>
      <w:r>
        <w:rPr>
          <w:rFonts w:hint="eastAsia" w:ascii="宋体" w:hAnsi="宋体" w:eastAsia="宋体" w:cs="宋体"/>
          <w:color w:val="auto"/>
          <w:spacing w:val="-5"/>
          <w:sz w:val="28"/>
          <w:szCs w:val="28"/>
          <w:highlight w:val="none"/>
          <w:u w:val="single"/>
        </w:rPr>
        <w:t>市建设工程造价信息》相应价格信息进行计算</w:t>
      </w:r>
      <w:r>
        <w:rPr>
          <w:rFonts w:hint="eastAsia" w:ascii="宋体" w:hAnsi="宋体" w:eastAsia="宋体" w:cs="宋体"/>
          <w:color w:val="auto"/>
          <w:spacing w:val="-5"/>
          <w:sz w:val="28"/>
          <w:szCs w:val="28"/>
          <w:highlight w:val="none"/>
          <w:u w:val="single"/>
          <w:lang w:eastAsia="zh-CN"/>
        </w:rPr>
        <w:t>，</w:t>
      </w:r>
      <w:r>
        <w:rPr>
          <w:rFonts w:hint="eastAsia" w:ascii="宋体" w:hAnsi="宋体" w:eastAsia="宋体" w:cs="宋体"/>
          <w:color w:val="auto"/>
          <w:spacing w:val="-5"/>
          <w:sz w:val="28"/>
          <w:szCs w:val="28"/>
          <w:highlight w:val="none"/>
          <w:u w:val="single"/>
        </w:rPr>
        <w:t>《</w:t>
      </w:r>
      <w:r>
        <w:rPr>
          <w:rFonts w:hint="eastAsia" w:ascii="宋体" w:hAnsi="宋体" w:eastAsia="宋体" w:cs="宋体"/>
          <w:color w:val="auto"/>
          <w:spacing w:val="-5"/>
          <w:sz w:val="28"/>
          <w:szCs w:val="28"/>
          <w:highlight w:val="none"/>
          <w:u w:val="single"/>
          <w:lang w:eastAsia="zh-CN"/>
        </w:rPr>
        <w:t>崇左</w:t>
      </w:r>
      <w:r>
        <w:rPr>
          <w:rFonts w:hint="eastAsia" w:ascii="宋体" w:hAnsi="宋体" w:eastAsia="宋体" w:cs="宋体"/>
          <w:color w:val="auto"/>
          <w:spacing w:val="-4"/>
          <w:sz w:val="28"/>
          <w:szCs w:val="28"/>
          <w:highlight w:val="none"/>
          <w:u w:val="single"/>
        </w:rPr>
        <w:t>市建设工程造价信息》没有相应价</w:t>
      </w:r>
      <w:r>
        <w:rPr>
          <w:rFonts w:hint="eastAsia" w:ascii="宋体" w:hAnsi="宋体" w:eastAsia="宋体" w:cs="宋体"/>
          <w:color w:val="auto"/>
          <w:sz w:val="28"/>
          <w:szCs w:val="28"/>
          <w:highlight w:val="none"/>
          <w:u w:val="single"/>
        </w:rPr>
        <w:t>格信息的按发包人审定的市场价计算，并乘以下浮后系数（成交价</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工程最高限价）；无定额可套的，双方根据市场价格协商确定综合价格，并乘以下浮后系数（成交价</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工程最高限价）计算。新增项目的综合单价</w:t>
      </w:r>
      <w:r>
        <w:rPr>
          <w:rFonts w:hint="eastAsia" w:ascii="宋体" w:hAnsi="宋体" w:eastAsia="宋体" w:cs="宋体"/>
          <w:color w:val="auto"/>
          <w:sz w:val="28"/>
          <w:szCs w:val="28"/>
          <w:highlight w:val="none"/>
          <w:u w:val="single"/>
          <w:lang w:val="en-US" w:eastAsia="zh-CN"/>
        </w:rPr>
        <w:t>审批程序严格</w:t>
      </w:r>
      <w:r>
        <w:rPr>
          <w:rFonts w:hint="eastAsia" w:ascii="宋体" w:hAnsi="宋体" w:eastAsia="宋体" w:cs="宋体"/>
          <w:color w:val="auto"/>
          <w:kern w:val="0"/>
          <w:sz w:val="28"/>
          <w:szCs w:val="28"/>
          <w:highlight w:val="none"/>
          <w:u w:val="single"/>
          <w:lang w:val="en-US" w:eastAsia="zh-CN" w:bidi="ar-SA"/>
        </w:rPr>
        <w:t>按照江州区政府性投资基本建设项目管理办法（修订版）的通知（江政办发[2021]4号）执行</w:t>
      </w:r>
      <w:r>
        <w:rPr>
          <w:rFonts w:hint="eastAsia" w:ascii="宋体" w:hAnsi="宋体" w:eastAsia="宋体" w:cs="宋体"/>
          <w:color w:val="auto"/>
          <w:sz w:val="28"/>
          <w:szCs w:val="28"/>
          <w:highlight w:val="none"/>
        </w:rPr>
        <w:t>。</w:t>
      </w:r>
    </w:p>
    <w:p w14:paraId="23DA1CA8">
      <w:pPr>
        <w:pageBreakBefore w:val="0"/>
        <w:numPr>
          <w:ilvl w:val="1"/>
          <w:numId w:val="17"/>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承包人的合理化建议</w:t>
      </w:r>
    </w:p>
    <w:p w14:paraId="498874E8">
      <w:pPr>
        <w:pStyle w:val="19"/>
        <w:pageBreakBefore w:val="0"/>
        <w:tabs>
          <w:tab w:val="left" w:pos="5943"/>
          <w:tab w:val="left" w:pos="6164"/>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人审</w:t>
      </w:r>
      <w:r>
        <w:rPr>
          <w:rFonts w:hint="eastAsia" w:ascii="宋体" w:hAnsi="宋体" w:eastAsia="宋体" w:cs="宋体"/>
          <w:color w:val="auto"/>
          <w:spacing w:val="-3"/>
          <w:sz w:val="28"/>
          <w:szCs w:val="28"/>
          <w:highlight w:val="none"/>
        </w:rPr>
        <w:t>查</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合理</w:t>
      </w:r>
      <w:r>
        <w:rPr>
          <w:rFonts w:hint="eastAsia" w:ascii="宋体" w:hAnsi="宋体" w:eastAsia="宋体" w:cs="宋体"/>
          <w:color w:val="auto"/>
          <w:spacing w:val="-3"/>
          <w:sz w:val="28"/>
          <w:szCs w:val="28"/>
          <w:highlight w:val="none"/>
        </w:rPr>
        <w:t>化</w:t>
      </w:r>
      <w:r>
        <w:rPr>
          <w:rFonts w:hint="eastAsia" w:ascii="宋体" w:hAnsi="宋体" w:eastAsia="宋体" w:cs="宋体"/>
          <w:color w:val="auto"/>
          <w:sz w:val="28"/>
          <w:szCs w:val="28"/>
          <w:highlight w:val="none"/>
        </w:rPr>
        <w:t>建议</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期限：</w:t>
      </w:r>
      <w:r>
        <w:rPr>
          <w:rFonts w:hint="eastAsia" w:ascii="宋体" w:hAnsi="宋体" w:eastAsia="宋体" w:cs="宋体"/>
          <w:color w:val="auto"/>
          <w:sz w:val="28"/>
          <w:szCs w:val="28"/>
          <w:highlight w:val="none"/>
          <w:u w:val="single"/>
          <w:lang w:val="en-US" w:eastAsia="zh-CN"/>
        </w:rPr>
        <w:t>执行通用条款。</w:t>
      </w:r>
    </w:p>
    <w:p w14:paraId="3F790F6A">
      <w:pPr>
        <w:pStyle w:val="19"/>
        <w:pageBreakBefore w:val="0"/>
        <w:tabs>
          <w:tab w:val="left" w:pos="5943"/>
          <w:tab w:val="left" w:pos="6164"/>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人审</w:t>
      </w:r>
      <w:r>
        <w:rPr>
          <w:rFonts w:hint="eastAsia" w:ascii="宋体" w:hAnsi="宋体" w:eastAsia="宋体" w:cs="宋体"/>
          <w:color w:val="auto"/>
          <w:spacing w:val="-3"/>
          <w:sz w:val="28"/>
          <w:szCs w:val="28"/>
          <w:highlight w:val="none"/>
        </w:rPr>
        <w:t>批</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合理</w:t>
      </w:r>
      <w:r>
        <w:rPr>
          <w:rFonts w:hint="eastAsia" w:ascii="宋体" w:hAnsi="宋体" w:eastAsia="宋体" w:cs="宋体"/>
          <w:color w:val="auto"/>
          <w:spacing w:val="-3"/>
          <w:sz w:val="28"/>
          <w:szCs w:val="28"/>
          <w:highlight w:val="none"/>
        </w:rPr>
        <w:t>化</w:t>
      </w:r>
      <w:r>
        <w:rPr>
          <w:rFonts w:hint="eastAsia" w:ascii="宋体" w:hAnsi="宋体" w:eastAsia="宋体" w:cs="宋体"/>
          <w:color w:val="auto"/>
          <w:sz w:val="28"/>
          <w:szCs w:val="28"/>
          <w:highlight w:val="none"/>
        </w:rPr>
        <w:t>建议</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期限：</w:t>
      </w:r>
      <w:r>
        <w:rPr>
          <w:rFonts w:hint="eastAsia" w:ascii="宋体" w:hAnsi="宋体" w:eastAsia="宋体" w:cs="宋体"/>
          <w:color w:val="auto"/>
          <w:sz w:val="28"/>
          <w:szCs w:val="28"/>
          <w:highlight w:val="none"/>
          <w:u w:val="single"/>
          <w:lang w:val="en-US" w:eastAsia="zh-CN"/>
        </w:rPr>
        <w:t>执行通用条款。</w:t>
      </w:r>
    </w:p>
    <w:p w14:paraId="6C14C412">
      <w:pPr>
        <w:pStyle w:val="19"/>
        <w:pageBreakBefore w:val="0"/>
        <w:tabs>
          <w:tab w:val="left" w:pos="275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出</w:t>
      </w:r>
      <w:r>
        <w:rPr>
          <w:rFonts w:hint="eastAsia" w:ascii="宋体" w:hAnsi="宋体" w:eastAsia="宋体" w:cs="宋体"/>
          <w:color w:val="auto"/>
          <w:sz w:val="28"/>
          <w:szCs w:val="28"/>
          <w:highlight w:val="none"/>
        </w:rPr>
        <w:t>的合</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化建</w:t>
      </w:r>
      <w:r>
        <w:rPr>
          <w:rFonts w:hint="eastAsia" w:ascii="宋体" w:hAnsi="宋体" w:eastAsia="宋体" w:cs="宋体"/>
          <w:color w:val="auto"/>
          <w:spacing w:val="-3"/>
          <w:sz w:val="28"/>
          <w:szCs w:val="28"/>
          <w:highlight w:val="none"/>
        </w:rPr>
        <w:t>议</w:t>
      </w:r>
      <w:r>
        <w:rPr>
          <w:rFonts w:hint="eastAsia" w:ascii="宋体" w:hAnsi="宋体" w:eastAsia="宋体" w:cs="宋体"/>
          <w:color w:val="auto"/>
          <w:sz w:val="28"/>
          <w:szCs w:val="28"/>
          <w:highlight w:val="none"/>
        </w:rPr>
        <w:t>降低</w:t>
      </w:r>
      <w:r>
        <w:rPr>
          <w:rFonts w:hint="eastAsia" w:ascii="宋体" w:hAnsi="宋体" w:eastAsia="宋体" w:cs="宋体"/>
          <w:color w:val="auto"/>
          <w:spacing w:val="-3"/>
          <w:sz w:val="28"/>
          <w:szCs w:val="28"/>
          <w:highlight w:val="none"/>
        </w:rPr>
        <w:t>了</w:t>
      </w:r>
      <w:r>
        <w:rPr>
          <w:rFonts w:hint="eastAsia" w:ascii="宋体" w:hAnsi="宋体" w:eastAsia="宋体" w:cs="宋体"/>
          <w:color w:val="auto"/>
          <w:sz w:val="28"/>
          <w:szCs w:val="28"/>
          <w:highlight w:val="none"/>
        </w:rPr>
        <w:t>合同</w:t>
      </w:r>
      <w:r>
        <w:rPr>
          <w:rFonts w:hint="eastAsia" w:ascii="宋体" w:hAnsi="宋体" w:eastAsia="宋体" w:cs="宋体"/>
          <w:color w:val="auto"/>
          <w:spacing w:val="-3"/>
          <w:sz w:val="28"/>
          <w:szCs w:val="28"/>
          <w:highlight w:val="none"/>
        </w:rPr>
        <w:t>价</w:t>
      </w:r>
      <w:r>
        <w:rPr>
          <w:rFonts w:hint="eastAsia" w:ascii="宋体" w:hAnsi="宋体" w:eastAsia="宋体" w:cs="宋体"/>
          <w:color w:val="auto"/>
          <w:sz w:val="28"/>
          <w:szCs w:val="28"/>
          <w:highlight w:val="none"/>
        </w:rPr>
        <w:t>格或</w:t>
      </w:r>
      <w:r>
        <w:rPr>
          <w:rFonts w:hint="eastAsia" w:ascii="宋体" w:hAnsi="宋体" w:eastAsia="宋体" w:cs="宋体"/>
          <w:color w:val="auto"/>
          <w:spacing w:val="-3"/>
          <w:sz w:val="28"/>
          <w:szCs w:val="28"/>
          <w:highlight w:val="none"/>
        </w:rPr>
        <w:t>者</w:t>
      </w:r>
      <w:r>
        <w:rPr>
          <w:rFonts w:hint="eastAsia" w:ascii="宋体" w:hAnsi="宋体" w:eastAsia="宋体" w:cs="宋体"/>
          <w:color w:val="auto"/>
          <w:sz w:val="28"/>
          <w:szCs w:val="28"/>
          <w:highlight w:val="none"/>
        </w:rPr>
        <w:t>提高</w:t>
      </w:r>
      <w:r>
        <w:rPr>
          <w:rFonts w:hint="eastAsia" w:ascii="宋体" w:hAnsi="宋体" w:eastAsia="宋体" w:cs="宋体"/>
          <w:color w:val="auto"/>
          <w:spacing w:val="-3"/>
          <w:sz w:val="28"/>
          <w:szCs w:val="28"/>
          <w:highlight w:val="none"/>
        </w:rPr>
        <w:t>了</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经</w:t>
      </w:r>
      <w:r>
        <w:rPr>
          <w:rFonts w:hint="eastAsia" w:ascii="宋体" w:hAnsi="宋体" w:eastAsia="宋体" w:cs="宋体"/>
          <w:color w:val="auto"/>
          <w:sz w:val="28"/>
          <w:szCs w:val="28"/>
          <w:highlight w:val="none"/>
        </w:rPr>
        <w:t>济效</w:t>
      </w:r>
      <w:r>
        <w:rPr>
          <w:rFonts w:hint="eastAsia" w:ascii="宋体" w:hAnsi="宋体" w:eastAsia="宋体" w:cs="宋体"/>
          <w:color w:val="auto"/>
          <w:spacing w:val="-3"/>
          <w:sz w:val="28"/>
          <w:szCs w:val="28"/>
          <w:highlight w:val="none"/>
        </w:rPr>
        <w:t>益</w:t>
      </w:r>
      <w:r>
        <w:rPr>
          <w:rFonts w:hint="eastAsia" w:ascii="宋体" w:hAnsi="宋体" w:eastAsia="宋体" w:cs="宋体"/>
          <w:color w:val="auto"/>
          <w:sz w:val="28"/>
          <w:szCs w:val="28"/>
          <w:highlight w:val="none"/>
        </w:rPr>
        <w:t>的奖</w:t>
      </w:r>
      <w:r>
        <w:rPr>
          <w:rFonts w:hint="eastAsia" w:ascii="宋体" w:hAnsi="宋体" w:eastAsia="宋体" w:cs="宋体"/>
          <w:color w:val="auto"/>
          <w:spacing w:val="-3"/>
          <w:sz w:val="28"/>
          <w:szCs w:val="28"/>
          <w:highlight w:val="none"/>
        </w:rPr>
        <w:t>励</w:t>
      </w:r>
      <w:r>
        <w:rPr>
          <w:rFonts w:hint="eastAsia" w:ascii="宋体" w:hAnsi="宋体" w:eastAsia="宋体" w:cs="宋体"/>
          <w:color w:val="auto"/>
          <w:sz w:val="28"/>
          <w:szCs w:val="28"/>
          <w:highlight w:val="none"/>
        </w:rPr>
        <w:t>的方</w:t>
      </w:r>
      <w:r>
        <w:rPr>
          <w:rFonts w:hint="eastAsia" w:ascii="宋体" w:hAnsi="宋体" w:eastAsia="宋体" w:cs="宋体"/>
          <w:color w:val="auto"/>
          <w:spacing w:val="-3"/>
          <w:sz w:val="28"/>
          <w:szCs w:val="28"/>
          <w:highlight w:val="none"/>
        </w:rPr>
        <w:t>法</w:t>
      </w:r>
      <w:r>
        <w:rPr>
          <w:rFonts w:hint="eastAsia" w:ascii="宋体" w:hAnsi="宋体" w:eastAsia="宋体" w:cs="宋体"/>
          <w:color w:val="auto"/>
          <w:sz w:val="28"/>
          <w:szCs w:val="28"/>
          <w:highlight w:val="none"/>
        </w:rPr>
        <w:t>和金额为：</w:t>
      </w:r>
      <w:r>
        <w:rPr>
          <w:rFonts w:hint="eastAsia" w:ascii="宋体" w:hAnsi="宋体" w:eastAsia="宋体" w:cs="宋体"/>
          <w:color w:val="auto"/>
          <w:sz w:val="28"/>
          <w:szCs w:val="28"/>
          <w:highlight w:val="none"/>
          <w:u w:val="single"/>
          <w:lang w:val="en-US" w:eastAsia="zh-CN"/>
        </w:rPr>
        <w:t>/</w:t>
      </w:r>
    </w:p>
    <w:p w14:paraId="02D05357">
      <w:pPr>
        <w:pageBreakBefore w:val="0"/>
        <w:numPr>
          <w:ilvl w:val="1"/>
          <w:numId w:val="18"/>
        </w:numPr>
        <w:tabs>
          <w:tab w:val="left" w:pos="888"/>
        </w:tabs>
        <w:kinsoku/>
        <w:overflowPunct/>
        <w:topLinePunct w:val="0"/>
        <w:bidi w:val="0"/>
        <w:snapToGrid/>
        <w:spacing w:before="5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暂估价</w:t>
      </w:r>
    </w:p>
    <w:p w14:paraId="03592716">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11"/>
          <w:sz w:val="28"/>
          <w:szCs w:val="28"/>
          <w:highlight w:val="none"/>
        </w:rPr>
        <w:t>暂估价材料和工程设备的明细详见已标价工程量清单</w:t>
      </w:r>
      <w:r>
        <w:rPr>
          <w:rFonts w:hint="eastAsia" w:ascii="宋体" w:hAnsi="宋体" w:eastAsia="宋体" w:cs="宋体"/>
          <w:color w:val="auto"/>
          <w:sz w:val="28"/>
          <w:szCs w:val="28"/>
          <w:highlight w:val="none"/>
        </w:rPr>
        <w:t>。</w:t>
      </w:r>
    </w:p>
    <w:p w14:paraId="536485D8">
      <w:pPr>
        <w:pStyle w:val="196"/>
        <w:pageBreakBefore w:val="0"/>
        <w:numPr>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cs="宋体"/>
          <w:color w:val="auto"/>
          <w:spacing w:val="-3"/>
          <w:sz w:val="28"/>
          <w:szCs w:val="28"/>
          <w:highlight w:val="none"/>
          <w:lang w:val="en-US" w:eastAsia="zh-CN"/>
        </w:rPr>
        <w:t>10.7.1</w:t>
      </w:r>
      <w:r>
        <w:rPr>
          <w:rFonts w:hint="eastAsia" w:ascii="宋体" w:hAnsi="宋体" w:eastAsia="宋体" w:cs="宋体"/>
          <w:color w:val="auto"/>
          <w:spacing w:val="-3"/>
          <w:sz w:val="28"/>
          <w:szCs w:val="28"/>
          <w:highlight w:val="none"/>
        </w:rPr>
        <w:t>依法必须招标的暂估价项目</w:t>
      </w:r>
    </w:p>
    <w:p w14:paraId="79F41B82">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对于依法必须招标的暂估价项目的确认和批准采取第</w:t>
      </w:r>
      <w:r>
        <w:rPr>
          <w:rFonts w:hint="eastAsia" w:ascii="宋体" w:hAnsi="宋体" w:eastAsia="宋体" w:cs="宋体"/>
          <w:color w:val="auto"/>
          <w:sz w:val="28"/>
          <w:szCs w:val="28"/>
          <w:highlight w:val="none"/>
          <w:u w:val="single"/>
          <w:lang w:val="en-US" w:eastAsia="zh-CN"/>
        </w:rPr>
        <w:t>/</w:t>
      </w:r>
      <w:r>
        <w:rPr>
          <w:rFonts w:hint="eastAsia" w:ascii="宋体" w:hAnsi="宋体" w:eastAsia="宋体" w:cs="宋体"/>
          <w:color w:val="auto"/>
          <w:sz w:val="28"/>
          <w:szCs w:val="28"/>
          <w:highlight w:val="none"/>
        </w:rPr>
        <w:t>种方式确定。</w:t>
      </w:r>
    </w:p>
    <w:p w14:paraId="45674514">
      <w:pPr>
        <w:pStyle w:val="196"/>
        <w:pageBreakBefore w:val="0"/>
        <w:numPr>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cs="宋体"/>
          <w:color w:val="auto"/>
          <w:spacing w:val="-3"/>
          <w:sz w:val="28"/>
          <w:szCs w:val="28"/>
          <w:highlight w:val="none"/>
          <w:lang w:val="en-US" w:eastAsia="zh-CN"/>
        </w:rPr>
        <w:t>10.7.2</w:t>
      </w:r>
      <w:r>
        <w:rPr>
          <w:rFonts w:hint="eastAsia" w:ascii="宋体" w:hAnsi="宋体" w:eastAsia="宋体" w:cs="宋体"/>
          <w:color w:val="auto"/>
          <w:spacing w:val="-3"/>
          <w:sz w:val="28"/>
          <w:szCs w:val="28"/>
          <w:highlight w:val="none"/>
        </w:rPr>
        <w:t>不属于依法必须招标的暂估价项目</w:t>
      </w:r>
    </w:p>
    <w:p w14:paraId="21C4EA1F">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对于不属于依法必须招标的暂估价项目的确认和批准采取第</w:t>
      </w:r>
      <w:r>
        <w:rPr>
          <w:rFonts w:hint="eastAsia" w:ascii="宋体" w:hAnsi="宋体" w:eastAsia="宋体" w:cs="宋体"/>
          <w:color w:val="auto"/>
          <w:sz w:val="28"/>
          <w:szCs w:val="28"/>
          <w:highlight w:val="none"/>
          <w:u w:val="single"/>
          <w:lang w:val="en-US" w:eastAsia="zh-CN"/>
        </w:rPr>
        <w:t>/</w:t>
      </w:r>
      <w:r>
        <w:rPr>
          <w:rFonts w:hint="eastAsia" w:ascii="宋体" w:hAnsi="宋体" w:eastAsia="宋体" w:cs="宋体"/>
          <w:color w:val="auto"/>
          <w:sz w:val="28"/>
          <w:szCs w:val="28"/>
          <w:highlight w:val="none"/>
        </w:rPr>
        <w:t>种方式确定。</w:t>
      </w:r>
    </w:p>
    <w:p w14:paraId="322285D6">
      <w:pPr>
        <w:pStyle w:val="19"/>
        <w:pageBreakBefore w:val="0"/>
        <w:tabs>
          <w:tab w:val="left" w:pos="616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人直</w:t>
      </w:r>
      <w:r>
        <w:rPr>
          <w:rFonts w:hint="eastAsia" w:ascii="宋体" w:hAnsi="宋体" w:eastAsia="宋体" w:cs="宋体"/>
          <w:color w:val="auto"/>
          <w:spacing w:val="-3"/>
          <w:sz w:val="28"/>
          <w:szCs w:val="28"/>
          <w:highlight w:val="none"/>
        </w:rPr>
        <w:t>接</w:t>
      </w:r>
      <w:r>
        <w:rPr>
          <w:rFonts w:hint="eastAsia" w:ascii="宋体" w:hAnsi="宋体" w:eastAsia="宋体" w:cs="宋体"/>
          <w:color w:val="auto"/>
          <w:sz w:val="28"/>
          <w:szCs w:val="28"/>
          <w:highlight w:val="none"/>
        </w:rPr>
        <w:t>实施</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暂估</w:t>
      </w:r>
      <w:r>
        <w:rPr>
          <w:rFonts w:hint="eastAsia" w:ascii="宋体" w:hAnsi="宋体" w:eastAsia="宋体" w:cs="宋体"/>
          <w:color w:val="auto"/>
          <w:spacing w:val="-3"/>
          <w:sz w:val="28"/>
          <w:szCs w:val="28"/>
          <w:highlight w:val="none"/>
        </w:rPr>
        <w:t>价</w:t>
      </w:r>
      <w:r>
        <w:rPr>
          <w:rFonts w:hint="eastAsia" w:ascii="宋体" w:hAnsi="宋体" w:eastAsia="宋体" w:cs="宋体"/>
          <w:color w:val="auto"/>
          <w:sz w:val="28"/>
          <w:szCs w:val="28"/>
          <w:highlight w:val="none"/>
        </w:rPr>
        <w:t>项目</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约定：</w:t>
      </w:r>
      <w:r>
        <w:rPr>
          <w:rFonts w:hint="eastAsia" w:ascii="宋体" w:hAnsi="宋体" w:eastAsia="宋体" w:cs="宋体"/>
          <w:color w:val="auto"/>
          <w:sz w:val="28"/>
          <w:szCs w:val="28"/>
          <w:highlight w:val="none"/>
          <w:u w:val="single"/>
          <w:lang w:val="en-US" w:eastAsia="zh-CN"/>
        </w:rPr>
        <w:t>/</w:t>
      </w:r>
    </w:p>
    <w:p w14:paraId="197B3626">
      <w:pPr>
        <w:pageBreakBefore w:val="0"/>
        <w:numPr>
          <w:ilvl w:val="1"/>
          <w:numId w:val="18"/>
        </w:numPr>
        <w:tabs>
          <w:tab w:val="left" w:pos="888"/>
        </w:tabs>
        <w:kinsoku/>
        <w:overflowPunct/>
        <w:topLinePunct w:val="0"/>
        <w:bidi w:val="0"/>
        <w:snapToGrid/>
        <w:spacing w:before="19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暂列金额</w:t>
      </w:r>
    </w:p>
    <w:p w14:paraId="641AF7CC">
      <w:pPr>
        <w:pageBreakBefore w:val="0"/>
        <w:tabs>
          <w:tab w:val="left" w:pos="6714"/>
        </w:tabs>
        <w:kinsoku/>
        <w:overflowPunct/>
        <w:topLinePunct w:val="0"/>
        <w:bidi w:val="0"/>
        <w:snapToGrid/>
        <w:spacing w:before="1" w:line="560" w:lineRule="exact"/>
        <w:ind w:left="332" w:right="48" w:rightChars="23" w:firstLine="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当事</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关于</w:t>
      </w:r>
      <w:r>
        <w:rPr>
          <w:rFonts w:hint="eastAsia" w:ascii="宋体" w:hAnsi="宋体" w:eastAsia="宋体" w:cs="宋体"/>
          <w:color w:val="auto"/>
          <w:spacing w:val="-3"/>
          <w:sz w:val="28"/>
          <w:szCs w:val="28"/>
          <w:highlight w:val="none"/>
        </w:rPr>
        <w:t>暂</w:t>
      </w:r>
      <w:r>
        <w:rPr>
          <w:rFonts w:hint="eastAsia" w:ascii="宋体" w:hAnsi="宋体" w:eastAsia="宋体" w:cs="宋体"/>
          <w:color w:val="auto"/>
          <w:sz w:val="28"/>
          <w:szCs w:val="28"/>
          <w:highlight w:val="none"/>
        </w:rPr>
        <w:t>列金</w:t>
      </w:r>
      <w:r>
        <w:rPr>
          <w:rFonts w:hint="eastAsia" w:ascii="宋体" w:hAnsi="宋体" w:eastAsia="宋体" w:cs="宋体"/>
          <w:color w:val="auto"/>
          <w:spacing w:val="-3"/>
          <w:sz w:val="28"/>
          <w:szCs w:val="28"/>
          <w:highlight w:val="none"/>
        </w:rPr>
        <w:t>额</w:t>
      </w:r>
      <w:r>
        <w:rPr>
          <w:rFonts w:hint="eastAsia" w:ascii="宋体" w:hAnsi="宋体" w:eastAsia="宋体" w:cs="宋体"/>
          <w:color w:val="auto"/>
          <w:sz w:val="28"/>
          <w:szCs w:val="28"/>
          <w:highlight w:val="none"/>
        </w:rPr>
        <w:t>使用</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约定：</w:t>
      </w:r>
      <w:r>
        <w:rPr>
          <w:rFonts w:hint="eastAsia" w:ascii="宋体" w:hAnsi="宋体" w:eastAsia="宋体" w:cs="宋体"/>
          <w:color w:val="auto"/>
          <w:sz w:val="28"/>
          <w:szCs w:val="28"/>
          <w:highlight w:val="none"/>
          <w:u w:val="single"/>
          <w:lang w:val="en-US" w:eastAsia="zh-CN"/>
        </w:rPr>
        <w:t>/</w:t>
      </w:r>
    </w:p>
    <w:p w14:paraId="4217A937">
      <w:pPr>
        <w:pageBreakBefore w:val="0"/>
        <w:tabs>
          <w:tab w:val="left" w:pos="6714"/>
        </w:tabs>
        <w:kinsoku/>
        <w:overflowPunct/>
        <w:topLinePunct w:val="0"/>
        <w:bidi w:val="0"/>
        <w:snapToGrid/>
        <w:spacing w:before="1" w:line="560" w:lineRule="exact"/>
        <w:ind w:left="332" w:right="48" w:rightChars="23" w:firstLine="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11.价格调整</w:t>
      </w:r>
    </w:p>
    <w:p w14:paraId="76753588">
      <w:pPr>
        <w:pStyle w:val="19"/>
        <w:pageBreakBefore w:val="0"/>
        <w:kinsoku/>
        <w:overflowPunct/>
        <w:topLinePunct w:val="0"/>
        <w:bidi w:val="0"/>
        <w:snapToGrid/>
        <w:spacing w:before="3"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①法律变化引起的调整；</w:t>
      </w:r>
    </w:p>
    <w:p w14:paraId="713A53EE">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②工程变更、项目特征不符、工程量清单缺项、工程量偏差引起的调整；</w:t>
      </w:r>
    </w:p>
    <w:p w14:paraId="7C50AEC6">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③计日工引起的调整。</w:t>
      </w:r>
    </w:p>
    <w:p w14:paraId="18A40261">
      <w:pPr>
        <w:pageBreakBefore w:val="0"/>
        <w:kinsoku/>
        <w:overflowPunct/>
        <w:topLinePunct w:val="0"/>
        <w:bidi w:val="0"/>
        <w:snapToGrid/>
        <w:spacing w:before="0" w:line="560" w:lineRule="exact"/>
        <w:ind w:left="332" w:right="48" w:rightChars="23" w:firstLine="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11.1 市场价格波动引起的调整</w:t>
      </w:r>
    </w:p>
    <w:p w14:paraId="0E0EF94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因市场价格波动调整合同价格</w:t>
      </w:r>
      <w:r>
        <w:rPr>
          <w:rFonts w:hint="eastAsia" w:ascii="宋体" w:hAnsi="宋体" w:eastAsia="宋体" w:cs="宋体"/>
          <w:color w:val="auto"/>
          <w:sz w:val="28"/>
          <w:szCs w:val="28"/>
          <w:lang w:val="en-US" w:eastAsia="zh-CN"/>
        </w:rPr>
        <w:t>的约定：</w:t>
      </w:r>
      <w:r>
        <w:rPr>
          <w:rFonts w:hint="eastAsia" w:ascii="宋体" w:hAnsi="宋体" w:eastAsia="宋体" w:cs="宋体"/>
          <w:color w:val="auto"/>
          <w:sz w:val="28"/>
          <w:szCs w:val="28"/>
          <w:u w:val="single"/>
        </w:rPr>
        <w:t>采用造价信息进行价格调整。</w:t>
      </w:r>
    </w:p>
    <w:p w14:paraId="160C6A56">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F75E4A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56E764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（2）材料、工程设备价格变化的价款调整按照发包人提供的基准价格，按以下风险范围规定执行:</w:t>
      </w:r>
    </w:p>
    <w:p w14:paraId="381A1CA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C85814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667FBFD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③承包人在已标价工程量清单或预算书中载明材料单价等于基准价格的：除专用合同条款另有约定外，合同履行期间材料单价涨跌幅以基准价格为基础超过±5%时，其超过部分据实调整。</w:t>
      </w:r>
    </w:p>
    <w:p w14:paraId="28DBF404">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C5D92C0">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前述基准价格是指由发包人在招标文件或专用合同条款中给定的材料、工程设备的价格，该价格原则上应当按照省级或行业建设主管部门或其授权的工程造价管理机构发布的信息价编制。</w:t>
      </w:r>
    </w:p>
    <w:p w14:paraId="266BBD4E">
      <w:pPr>
        <w:pStyle w:val="21"/>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（3）施工机械台班单价或施工机械使用费发生变化超过省级或行业建设主管部门或其授权的工程造价管理机构规定的范围时，按规定调整合同价格</w:t>
      </w:r>
      <w:r>
        <w:rPr>
          <w:rFonts w:hint="eastAsia" w:ascii="宋体" w:hAnsi="宋体" w:eastAsia="宋体" w:cs="宋体"/>
          <w:color w:val="auto"/>
          <w:sz w:val="28"/>
          <w:szCs w:val="28"/>
          <w:lang w:eastAsia="zh-CN"/>
        </w:rPr>
        <w:t>。</w:t>
      </w:r>
    </w:p>
    <w:p w14:paraId="0680345B">
      <w:pPr>
        <w:pageBreakBefore w:val="0"/>
        <w:numPr>
          <w:ilvl w:val="0"/>
          <w:numId w:val="0"/>
        </w:numPr>
        <w:tabs>
          <w:tab w:val="left" w:pos="777"/>
        </w:tabs>
        <w:kinsoku/>
        <w:overflowPunct/>
        <w:topLinePunct w:val="0"/>
        <w:bidi w:val="0"/>
        <w:snapToGrid/>
        <w:spacing w:before="191" w:line="560" w:lineRule="exact"/>
        <w:ind w:right="48" w:rightChars="23" w:firstLine="281" w:firstLineChars="100"/>
        <w:jc w:val="left"/>
        <w:rPr>
          <w:rFonts w:hint="eastAsia" w:ascii="宋体" w:hAnsi="宋体" w:eastAsia="宋体" w:cs="宋体"/>
        </w:rPr>
      </w:pPr>
      <w:r>
        <w:rPr>
          <w:rFonts w:hint="eastAsia" w:ascii="宋体" w:hAnsi="宋体" w:eastAsia="宋体" w:cs="宋体"/>
          <w:b/>
          <w:color w:val="auto"/>
          <w:sz w:val="28"/>
          <w:szCs w:val="28"/>
          <w:highlight w:val="none"/>
          <w:lang w:val="en-US" w:eastAsia="zh-CN"/>
        </w:rPr>
        <w:t>12.</w:t>
      </w:r>
      <w:r>
        <w:rPr>
          <w:rFonts w:hint="eastAsia" w:ascii="宋体" w:hAnsi="宋体" w:eastAsia="宋体" w:cs="宋体"/>
          <w:b/>
          <w:color w:val="auto"/>
          <w:sz w:val="28"/>
          <w:szCs w:val="28"/>
          <w:highlight w:val="none"/>
        </w:rPr>
        <w:t>合同价格、计量与支付</w:t>
      </w:r>
    </w:p>
    <w:p w14:paraId="05E8E1AF">
      <w:pPr>
        <w:pageBreakBefore w:val="0"/>
        <w:numPr>
          <w:ilvl w:val="1"/>
          <w:numId w:val="19"/>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合同价格形式</w:t>
      </w:r>
    </w:p>
    <w:p w14:paraId="6740969F">
      <w:pPr>
        <w:pStyle w:val="196"/>
        <w:pageBreakBefore w:val="0"/>
        <w:numPr>
          <w:ilvl w:val="0"/>
          <w:numId w:val="0"/>
        </w:numPr>
        <w:tabs>
          <w:tab w:val="left" w:pos="886"/>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u w:val="single"/>
          <w:lang w:val="en-US" w:eastAsia="zh-CN"/>
        </w:rPr>
        <w:t>(1)</w:t>
      </w:r>
      <w:r>
        <w:rPr>
          <w:rFonts w:hint="eastAsia" w:ascii="宋体" w:hAnsi="宋体" w:eastAsia="宋体" w:cs="宋体"/>
          <w:color w:val="auto"/>
          <w:spacing w:val="-3"/>
          <w:sz w:val="28"/>
          <w:szCs w:val="28"/>
          <w:highlight w:val="none"/>
          <w:u w:val="single"/>
        </w:rPr>
        <w:t>单价合同</w:t>
      </w:r>
      <w:r>
        <w:rPr>
          <w:rFonts w:hint="eastAsia" w:ascii="宋体" w:hAnsi="宋体" w:eastAsia="宋体" w:cs="宋体"/>
          <w:color w:val="auto"/>
          <w:spacing w:val="-3"/>
          <w:sz w:val="28"/>
          <w:szCs w:val="28"/>
          <w:highlight w:val="none"/>
        </w:rPr>
        <w:t>。</w:t>
      </w:r>
    </w:p>
    <w:p w14:paraId="50F03EE1">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本合同价款采用固定综合单价方式确定。</w:t>
      </w:r>
    </w:p>
    <w:p w14:paraId="7BFC92D9">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综合单价包含的风险范围：</w:t>
      </w:r>
      <w:r>
        <w:rPr>
          <w:rFonts w:hint="eastAsia" w:ascii="宋体" w:hAnsi="宋体" w:eastAsia="宋体" w:cs="宋体"/>
          <w:color w:val="auto"/>
          <w:sz w:val="28"/>
          <w:szCs w:val="28"/>
          <w:highlight w:val="none"/>
          <w:u w:val="single"/>
        </w:rPr>
        <w:t>除工程变更、政策性调整、《承包人提供主要材料和设备一览表》约定的</w:t>
      </w:r>
      <w:r>
        <w:rPr>
          <w:rFonts w:hint="eastAsia" w:ascii="宋体" w:hAnsi="宋体" w:eastAsia="宋体" w:cs="宋体"/>
          <w:color w:val="auto"/>
          <w:spacing w:val="-3"/>
          <w:sz w:val="28"/>
          <w:szCs w:val="28"/>
          <w:highlight w:val="none"/>
          <w:u w:val="single"/>
        </w:rPr>
        <w:t>材料、设备价格变动风险以外因素。</w:t>
      </w:r>
    </w:p>
    <w:p w14:paraId="74187E47">
      <w:pPr>
        <w:pStyle w:val="19"/>
        <w:pageBreakBefore w:val="0"/>
        <w:kinsoku/>
        <w:overflowPunct/>
        <w:topLinePunct w:val="0"/>
        <w:bidi w:val="0"/>
        <w:snapToGrid/>
        <w:spacing w:before="7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风险范围以外合同价格的调整方法：</w:t>
      </w:r>
    </w:p>
    <w:p w14:paraId="4A53CB54">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①工程变更：按 10.4.1 变更估价原则的约定调整。</w:t>
      </w:r>
    </w:p>
    <w:p w14:paraId="2C637D22">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②政策性调整：按自治区建设行政主管部门颁布的文件执行。</w:t>
      </w:r>
    </w:p>
    <w:p w14:paraId="03A13405">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③材料价格风险：按 11.1 的约定调整。</w:t>
      </w:r>
    </w:p>
    <w:p w14:paraId="48233E28">
      <w:pPr>
        <w:pStyle w:val="19"/>
        <w:pageBreakBefore w:val="0"/>
        <w:tabs>
          <w:tab w:val="left" w:pos="3632"/>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④其</w:t>
      </w:r>
      <w:r>
        <w:rPr>
          <w:rFonts w:hint="eastAsia" w:ascii="宋体" w:hAnsi="宋体" w:eastAsia="宋体" w:cs="宋体"/>
          <w:color w:val="auto"/>
          <w:spacing w:val="-3"/>
          <w:sz w:val="28"/>
          <w:szCs w:val="28"/>
          <w:highlight w:val="none"/>
        </w:rPr>
        <w:t>它</w:t>
      </w:r>
      <w:r>
        <w:rPr>
          <w:rFonts w:hint="eastAsia" w:ascii="宋体" w:hAnsi="宋体" w:eastAsia="宋体" w:cs="宋体"/>
          <w:color w:val="auto"/>
          <w:sz w:val="28"/>
          <w:szCs w:val="28"/>
          <w:highlight w:val="none"/>
        </w:rPr>
        <w:t>：</w:t>
      </w:r>
    </w:p>
    <w:p w14:paraId="2D50D2F4">
      <w:pPr>
        <w:pStyle w:val="196"/>
        <w:pageBreakBefore w:val="0"/>
        <w:numPr>
          <w:ilvl w:val="0"/>
          <w:numId w:val="0"/>
        </w:numPr>
        <w:tabs>
          <w:tab w:val="left" w:pos="886"/>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总价合同。</w:t>
      </w:r>
    </w:p>
    <w:p w14:paraId="15AE1435">
      <w:pPr>
        <w:pStyle w:val="19"/>
        <w:pageBreakBefore w:val="0"/>
        <w:tabs>
          <w:tab w:val="left" w:pos="473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总</w:t>
      </w:r>
      <w:r>
        <w:rPr>
          <w:rFonts w:hint="eastAsia" w:ascii="宋体" w:hAnsi="宋体" w:eastAsia="宋体" w:cs="宋体"/>
          <w:color w:val="auto"/>
          <w:spacing w:val="-3"/>
          <w:sz w:val="28"/>
          <w:szCs w:val="28"/>
          <w:highlight w:val="none"/>
        </w:rPr>
        <w:t>价</w:t>
      </w:r>
      <w:r>
        <w:rPr>
          <w:rFonts w:hint="eastAsia" w:ascii="宋体" w:hAnsi="宋体" w:eastAsia="宋体" w:cs="宋体"/>
          <w:color w:val="auto"/>
          <w:sz w:val="28"/>
          <w:szCs w:val="28"/>
          <w:highlight w:val="none"/>
        </w:rPr>
        <w:t>包含</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风险</w:t>
      </w:r>
      <w:r>
        <w:rPr>
          <w:rFonts w:hint="eastAsia" w:ascii="宋体" w:hAnsi="宋体" w:eastAsia="宋体" w:cs="宋体"/>
          <w:color w:val="auto"/>
          <w:spacing w:val="-3"/>
          <w:sz w:val="28"/>
          <w:szCs w:val="28"/>
          <w:highlight w:val="none"/>
        </w:rPr>
        <w:t>范</w:t>
      </w:r>
      <w:r>
        <w:rPr>
          <w:rFonts w:hint="eastAsia" w:ascii="宋体" w:hAnsi="宋体" w:eastAsia="宋体" w:cs="宋体"/>
          <w:color w:val="auto"/>
          <w:sz w:val="28"/>
          <w:szCs w:val="28"/>
          <w:highlight w:val="none"/>
        </w:rPr>
        <w:t>围：</w:t>
      </w:r>
      <w:r>
        <w:rPr>
          <w:rFonts w:hint="eastAsia" w:ascii="宋体" w:hAnsi="宋体" w:eastAsia="宋体" w:cs="宋体"/>
          <w:color w:val="auto"/>
          <w:sz w:val="28"/>
          <w:szCs w:val="28"/>
          <w:highlight w:val="none"/>
          <w:u w:val="single"/>
          <w:lang w:val="en-US" w:eastAsia="zh-CN"/>
        </w:rPr>
        <w:t>/</w:t>
      </w:r>
    </w:p>
    <w:p w14:paraId="7290C22C">
      <w:pPr>
        <w:pStyle w:val="19"/>
        <w:pageBreakBefore w:val="0"/>
        <w:tabs>
          <w:tab w:val="left" w:pos="517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风</w:t>
      </w:r>
      <w:r>
        <w:rPr>
          <w:rFonts w:hint="eastAsia" w:ascii="宋体" w:hAnsi="宋体" w:eastAsia="宋体" w:cs="宋体"/>
          <w:color w:val="auto"/>
          <w:spacing w:val="-3"/>
          <w:sz w:val="28"/>
          <w:szCs w:val="28"/>
          <w:highlight w:val="none"/>
        </w:rPr>
        <w:t>险</w:t>
      </w:r>
      <w:r>
        <w:rPr>
          <w:rFonts w:hint="eastAsia" w:ascii="宋体" w:hAnsi="宋体" w:eastAsia="宋体" w:cs="宋体"/>
          <w:color w:val="auto"/>
          <w:sz w:val="28"/>
          <w:szCs w:val="28"/>
          <w:highlight w:val="none"/>
        </w:rPr>
        <w:t>范围</w:t>
      </w:r>
      <w:r>
        <w:rPr>
          <w:rFonts w:hint="eastAsia" w:ascii="宋体" w:hAnsi="宋体" w:eastAsia="宋体" w:cs="宋体"/>
          <w:color w:val="auto"/>
          <w:spacing w:val="-3"/>
          <w:sz w:val="28"/>
          <w:szCs w:val="28"/>
          <w:highlight w:val="none"/>
        </w:rPr>
        <w:t>以</w:t>
      </w:r>
      <w:r>
        <w:rPr>
          <w:rFonts w:hint="eastAsia" w:ascii="宋体" w:hAnsi="宋体" w:eastAsia="宋体" w:cs="宋体"/>
          <w:color w:val="auto"/>
          <w:sz w:val="28"/>
          <w:szCs w:val="28"/>
          <w:highlight w:val="none"/>
        </w:rPr>
        <w:t>外合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价格</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调整</w:t>
      </w:r>
      <w:r>
        <w:rPr>
          <w:rFonts w:hint="eastAsia" w:ascii="宋体" w:hAnsi="宋体" w:eastAsia="宋体" w:cs="宋体"/>
          <w:color w:val="auto"/>
          <w:spacing w:val="-3"/>
          <w:sz w:val="28"/>
          <w:szCs w:val="28"/>
          <w:highlight w:val="none"/>
        </w:rPr>
        <w:t>方</w:t>
      </w:r>
      <w:r>
        <w:rPr>
          <w:rFonts w:hint="eastAsia" w:ascii="宋体" w:hAnsi="宋体" w:eastAsia="宋体" w:cs="宋体"/>
          <w:color w:val="auto"/>
          <w:sz w:val="28"/>
          <w:szCs w:val="28"/>
          <w:highlight w:val="none"/>
        </w:rPr>
        <w:t>法：</w:t>
      </w:r>
      <w:r>
        <w:rPr>
          <w:rFonts w:hint="eastAsia" w:ascii="宋体" w:hAnsi="宋体" w:eastAsia="宋体" w:cs="宋体"/>
          <w:color w:val="auto"/>
          <w:sz w:val="28"/>
          <w:szCs w:val="28"/>
          <w:highlight w:val="none"/>
          <w:u w:val="single"/>
          <w:lang w:val="en-US" w:eastAsia="zh-CN"/>
        </w:rPr>
        <w:t>/</w:t>
      </w:r>
    </w:p>
    <w:p w14:paraId="5B90FC85">
      <w:pPr>
        <w:pStyle w:val="196"/>
        <w:pageBreakBefore w:val="0"/>
        <w:numPr>
          <w:numId w:val="0"/>
        </w:numPr>
        <w:tabs>
          <w:tab w:val="left" w:pos="886"/>
          <w:tab w:val="left" w:pos="3414"/>
        </w:tabs>
        <w:kinsoku/>
        <w:overflowPunct/>
        <w:topLinePunct w:val="0"/>
        <w:bidi w:val="0"/>
        <w:snapToGrid/>
        <w:spacing w:before="0" w:after="0" w:line="560" w:lineRule="exact"/>
        <w:ind w:right="48" w:rightChars="23" w:firstLine="548" w:firstLineChars="200"/>
        <w:jc w:val="left"/>
        <w:rPr>
          <w:rFonts w:hint="eastAsia" w:ascii="宋体" w:hAnsi="宋体" w:eastAsia="宋体" w:cs="宋体"/>
          <w:color w:val="auto"/>
          <w:sz w:val="28"/>
          <w:szCs w:val="28"/>
          <w:highlight w:val="none"/>
          <w:u w:val="single"/>
          <w:lang w:val="en-US" w:eastAsia="zh-CN"/>
        </w:rPr>
      </w:pPr>
      <w:r>
        <w:rPr>
          <w:rFonts w:hint="eastAsia" w:ascii="宋体" w:hAnsi="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他价</w:t>
      </w:r>
      <w:r>
        <w:rPr>
          <w:rFonts w:hint="eastAsia" w:ascii="宋体" w:hAnsi="宋体" w:eastAsia="宋体" w:cs="宋体"/>
          <w:color w:val="auto"/>
          <w:spacing w:val="-3"/>
          <w:sz w:val="28"/>
          <w:szCs w:val="28"/>
          <w:highlight w:val="none"/>
        </w:rPr>
        <w:t>格</w:t>
      </w:r>
      <w:r>
        <w:rPr>
          <w:rFonts w:hint="eastAsia" w:ascii="宋体" w:hAnsi="宋体" w:eastAsia="宋体" w:cs="宋体"/>
          <w:color w:val="auto"/>
          <w:sz w:val="28"/>
          <w:szCs w:val="28"/>
          <w:highlight w:val="none"/>
        </w:rPr>
        <w:t>方式</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u w:val="single"/>
          <w:lang w:val="en-US" w:eastAsia="zh-CN"/>
        </w:rPr>
        <w:t>/</w:t>
      </w:r>
    </w:p>
    <w:p w14:paraId="5FE6174B">
      <w:pPr>
        <w:pageBreakBefore w:val="0"/>
        <w:numPr>
          <w:ilvl w:val="1"/>
          <w:numId w:val="19"/>
        </w:numPr>
        <w:tabs>
          <w:tab w:val="left" w:pos="888"/>
        </w:tabs>
        <w:kinsoku/>
        <w:overflowPunct/>
        <w:topLinePunct w:val="0"/>
        <w:bidi w:val="0"/>
        <w:snapToGrid/>
        <w:spacing w:before="5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预付款</w:t>
      </w:r>
    </w:p>
    <w:p w14:paraId="2E54990A">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12.2.1</w:t>
      </w:r>
      <w:r>
        <w:rPr>
          <w:rFonts w:hint="eastAsia" w:ascii="宋体" w:hAnsi="宋体" w:eastAsia="宋体" w:cs="宋体"/>
          <w:color w:val="auto"/>
          <w:spacing w:val="-3"/>
          <w:sz w:val="28"/>
          <w:szCs w:val="28"/>
          <w:highlight w:val="none"/>
        </w:rPr>
        <w:t>预付款的支付</w:t>
      </w:r>
    </w:p>
    <w:p w14:paraId="47814BE6">
      <w:pPr>
        <w:pStyle w:val="196"/>
        <w:pageBreakBefore w:val="0"/>
        <w:numPr>
          <w:ilvl w:val="0"/>
          <w:numId w:val="0"/>
        </w:numPr>
        <w:tabs>
          <w:tab w:val="left" w:pos="1104"/>
        </w:tabs>
        <w:kinsoku/>
        <w:overflowPunct/>
        <w:topLinePunct w:val="0"/>
        <w:bidi w:val="0"/>
        <w:snapToGrid/>
        <w:spacing w:before="0" w:after="0" w:line="560" w:lineRule="exact"/>
        <w:ind w:left="331" w:leftChars="0" w:right="48" w:rightChars="23"/>
        <w:jc w:val="left"/>
        <w:rPr>
          <w:rFonts w:hint="default" w:ascii="宋体" w:hAnsi="宋体" w:eastAsia="宋体" w:cs="宋体"/>
          <w:color w:val="auto"/>
          <w:sz w:val="28"/>
          <w:szCs w:val="28"/>
          <w:highlight w:val="none"/>
          <w:lang w:val="en-US"/>
        </w:rPr>
      </w:pPr>
      <w:r>
        <w:rPr>
          <w:rFonts w:hint="eastAsia" w:ascii="宋体" w:hAnsi="宋体" w:eastAsia="宋体" w:cs="宋体"/>
          <w:color w:val="auto"/>
          <w:spacing w:val="-3"/>
          <w:sz w:val="28"/>
          <w:szCs w:val="28"/>
          <w:highlight w:val="none"/>
          <w:lang w:val="en-US" w:eastAsia="zh-CN"/>
        </w:rPr>
        <w:t>预付款支付比例或金额：</w:t>
      </w:r>
      <w:r>
        <w:rPr>
          <w:rFonts w:hint="eastAsia" w:ascii="宋体" w:hAnsi="宋体" w:eastAsia="宋体" w:cs="宋体"/>
          <w:color w:val="auto"/>
          <w:spacing w:val="-3"/>
          <w:sz w:val="28"/>
          <w:szCs w:val="28"/>
          <w:highlight w:val="none"/>
          <w:u w:val="single"/>
          <w:lang w:val="en-US" w:eastAsia="zh-CN"/>
        </w:rPr>
        <w:t>无;</w:t>
      </w:r>
    </w:p>
    <w:p w14:paraId="10769083">
      <w:pPr>
        <w:pStyle w:val="196"/>
        <w:pageBreakBefore w:val="0"/>
        <w:numPr>
          <w:ilvl w:val="0"/>
          <w:numId w:val="0"/>
        </w:numPr>
        <w:tabs>
          <w:tab w:val="left" w:pos="1104"/>
        </w:tabs>
        <w:kinsoku/>
        <w:overflowPunct/>
        <w:topLinePunct w:val="0"/>
        <w:bidi w:val="0"/>
        <w:snapToGrid/>
        <w:spacing w:before="0" w:after="0" w:line="560" w:lineRule="exact"/>
        <w:ind w:left="331" w:leftChars="0" w:right="48" w:rightChars="23"/>
        <w:jc w:val="left"/>
        <w:rPr>
          <w:rFonts w:hint="default" w:ascii="宋体" w:hAnsi="宋体" w:eastAsia="宋体" w:cs="宋体"/>
          <w:color w:val="auto"/>
          <w:spacing w:val="-3"/>
          <w:sz w:val="28"/>
          <w:szCs w:val="28"/>
          <w:highlight w:val="none"/>
          <w:lang w:val="en-US" w:eastAsia="zh-CN"/>
        </w:rPr>
      </w:pPr>
      <w:r>
        <w:rPr>
          <w:rFonts w:hint="eastAsia" w:ascii="宋体" w:hAnsi="宋体" w:eastAsia="宋体" w:cs="宋体"/>
          <w:color w:val="auto"/>
          <w:spacing w:val="-3"/>
          <w:sz w:val="28"/>
          <w:szCs w:val="28"/>
          <w:highlight w:val="none"/>
          <w:lang w:val="en-US" w:eastAsia="zh-CN"/>
        </w:rPr>
        <w:t>预付款支付期限：</w:t>
      </w:r>
      <w:r>
        <w:rPr>
          <w:rFonts w:hint="eastAsia" w:ascii="宋体" w:hAnsi="宋体" w:eastAsia="宋体" w:cs="宋体"/>
          <w:color w:val="auto"/>
          <w:spacing w:val="-3"/>
          <w:sz w:val="28"/>
          <w:szCs w:val="28"/>
          <w:highlight w:val="none"/>
          <w:u w:val="single"/>
          <w:lang w:val="en-US" w:eastAsia="zh-CN"/>
        </w:rPr>
        <w:t>无;</w:t>
      </w:r>
    </w:p>
    <w:p w14:paraId="429CFA9E">
      <w:pPr>
        <w:pStyle w:val="196"/>
        <w:pageBreakBefore w:val="0"/>
        <w:numPr>
          <w:ilvl w:val="0"/>
          <w:numId w:val="0"/>
        </w:numPr>
        <w:tabs>
          <w:tab w:val="left" w:pos="1104"/>
        </w:tabs>
        <w:kinsoku/>
        <w:overflowPunct/>
        <w:topLinePunct w:val="0"/>
        <w:bidi w:val="0"/>
        <w:snapToGrid/>
        <w:spacing w:before="0" w:after="0" w:line="560" w:lineRule="exact"/>
        <w:ind w:left="331" w:leftChars="0" w:right="48" w:rightChars="23"/>
        <w:jc w:val="left"/>
        <w:rPr>
          <w:rFonts w:hint="default" w:ascii="宋体" w:hAnsi="宋体" w:eastAsia="宋体" w:cs="宋体"/>
          <w:color w:val="auto"/>
          <w:spacing w:val="-3"/>
          <w:sz w:val="28"/>
          <w:szCs w:val="28"/>
          <w:highlight w:val="none"/>
          <w:lang w:val="en-US" w:eastAsia="zh-CN"/>
        </w:rPr>
      </w:pPr>
      <w:r>
        <w:rPr>
          <w:rFonts w:hint="eastAsia" w:ascii="宋体" w:hAnsi="宋体" w:eastAsia="宋体" w:cs="宋体"/>
          <w:color w:val="auto"/>
          <w:spacing w:val="-3"/>
          <w:sz w:val="28"/>
          <w:szCs w:val="28"/>
          <w:highlight w:val="none"/>
          <w:lang w:val="en-US" w:eastAsia="zh-CN"/>
        </w:rPr>
        <w:t>预付款扣回方式：</w:t>
      </w:r>
      <w:r>
        <w:rPr>
          <w:rFonts w:hint="eastAsia" w:ascii="宋体" w:hAnsi="宋体" w:eastAsia="宋体" w:cs="宋体"/>
          <w:color w:val="auto"/>
          <w:spacing w:val="-3"/>
          <w:sz w:val="28"/>
          <w:szCs w:val="28"/>
          <w:highlight w:val="none"/>
          <w:u w:val="single"/>
          <w:lang w:val="en-US" w:eastAsia="zh-CN"/>
        </w:rPr>
        <w:t>无;</w:t>
      </w:r>
    </w:p>
    <w:p w14:paraId="71E683C5">
      <w:pPr>
        <w:pStyle w:val="196"/>
        <w:pageBreakBefore w:val="0"/>
        <w:numPr>
          <w:ilvl w:val="0"/>
          <w:numId w:val="0"/>
        </w:numPr>
        <w:tabs>
          <w:tab w:val="left" w:pos="1104"/>
        </w:tabs>
        <w:kinsoku/>
        <w:overflowPunct/>
        <w:topLinePunct w:val="0"/>
        <w:bidi w:val="0"/>
        <w:snapToGrid/>
        <w:spacing w:before="0" w:after="0" w:line="560" w:lineRule="exact"/>
        <w:ind w:left="331" w:leftChars="0" w:right="48" w:rightChars="23"/>
        <w:jc w:val="left"/>
        <w:rPr>
          <w:rFonts w:hint="eastAsia" w:ascii="宋体" w:hAnsi="宋体" w:eastAsia="宋体" w:cs="宋体"/>
          <w:color w:val="auto"/>
          <w:spacing w:val="-3"/>
          <w:sz w:val="28"/>
          <w:szCs w:val="28"/>
          <w:highlight w:val="none"/>
          <w:lang w:val="en-US" w:eastAsia="zh-CN"/>
        </w:rPr>
      </w:pPr>
      <w:r>
        <w:rPr>
          <w:rFonts w:hint="eastAsia" w:ascii="宋体" w:hAnsi="宋体" w:eastAsia="宋体" w:cs="宋体"/>
          <w:color w:val="auto"/>
          <w:spacing w:val="-3"/>
          <w:sz w:val="28"/>
          <w:szCs w:val="28"/>
          <w:highlight w:val="none"/>
          <w:lang w:val="en-US" w:eastAsia="zh-CN"/>
        </w:rPr>
        <w:t>12.2.2预付款担保</w:t>
      </w:r>
    </w:p>
    <w:p w14:paraId="28F5BACC">
      <w:pPr>
        <w:pStyle w:val="196"/>
        <w:pageBreakBefore w:val="0"/>
        <w:numPr>
          <w:ilvl w:val="0"/>
          <w:numId w:val="0"/>
        </w:numPr>
        <w:tabs>
          <w:tab w:val="left" w:pos="1104"/>
        </w:tabs>
        <w:kinsoku/>
        <w:overflowPunct/>
        <w:topLinePunct w:val="0"/>
        <w:bidi w:val="0"/>
        <w:snapToGrid/>
        <w:spacing w:before="0" w:after="0" w:line="560" w:lineRule="exact"/>
        <w:ind w:left="331" w:leftChars="0" w:right="48" w:rightChars="23"/>
        <w:jc w:val="left"/>
        <w:rPr>
          <w:rFonts w:hint="default" w:ascii="宋体" w:hAnsi="宋体" w:eastAsia="宋体" w:cs="宋体"/>
          <w:color w:val="auto"/>
          <w:spacing w:val="-3"/>
          <w:sz w:val="28"/>
          <w:szCs w:val="28"/>
          <w:highlight w:val="none"/>
          <w:lang w:val="en-US" w:eastAsia="zh-CN"/>
        </w:rPr>
      </w:pPr>
      <w:r>
        <w:rPr>
          <w:rFonts w:hint="eastAsia" w:ascii="宋体" w:hAnsi="宋体" w:eastAsia="宋体" w:cs="宋体"/>
          <w:color w:val="auto"/>
          <w:spacing w:val="-3"/>
          <w:sz w:val="28"/>
          <w:szCs w:val="28"/>
          <w:highlight w:val="none"/>
          <w:lang w:val="en-US" w:eastAsia="zh-CN"/>
        </w:rPr>
        <w:t>承包人提交预付款担保期限：</w:t>
      </w:r>
      <w:r>
        <w:rPr>
          <w:rFonts w:hint="eastAsia" w:ascii="宋体" w:hAnsi="宋体" w:eastAsia="宋体" w:cs="宋体"/>
          <w:color w:val="auto"/>
          <w:spacing w:val="-3"/>
          <w:sz w:val="28"/>
          <w:szCs w:val="28"/>
          <w:highlight w:val="none"/>
          <w:u w:val="single"/>
          <w:lang w:val="en-US" w:eastAsia="zh-CN"/>
        </w:rPr>
        <w:t>无;</w:t>
      </w:r>
    </w:p>
    <w:p w14:paraId="502AE0AF">
      <w:pPr>
        <w:pStyle w:val="196"/>
        <w:pageBreakBefore w:val="0"/>
        <w:numPr>
          <w:ilvl w:val="0"/>
          <w:numId w:val="0"/>
        </w:numPr>
        <w:tabs>
          <w:tab w:val="left" w:pos="1104"/>
        </w:tabs>
        <w:kinsoku/>
        <w:overflowPunct/>
        <w:topLinePunct w:val="0"/>
        <w:bidi w:val="0"/>
        <w:snapToGrid/>
        <w:spacing w:before="0" w:after="0" w:line="560" w:lineRule="exact"/>
        <w:ind w:left="331" w:leftChars="0" w:right="48" w:rightChars="23"/>
        <w:jc w:val="left"/>
        <w:rPr>
          <w:rFonts w:hint="default" w:ascii="宋体" w:hAnsi="宋体" w:eastAsia="宋体" w:cs="宋体"/>
          <w:color w:val="auto"/>
          <w:spacing w:val="-3"/>
          <w:sz w:val="28"/>
          <w:szCs w:val="28"/>
          <w:highlight w:val="none"/>
          <w:u w:val="single"/>
          <w:lang w:val="en-US" w:eastAsia="zh-CN"/>
        </w:rPr>
      </w:pPr>
      <w:r>
        <w:rPr>
          <w:rFonts w:hint="eastAsia" w:ascii="宋体" w:hAnsi="宋体" w:eastAsia="宋体" w:cs="宋体"/>
          <w:color w:val="auto"/>
          <w:spacing w:val="-3"/>
          <w:sz w:val="28"/>
          <w:szCs w:val="28"/>
          <w:highlight w:val="none"/>
          <w:lang w:val="en-US" w:eastAsia="zh-CN"/>
        </w:rPr>
        <w:t>预付款担保的形式为：</w:t>
      </w:r>
      <w:r>
        <w:rPr>
          <w:rFonts w:hint="eastAsia" w:ascii="宋体" w:hAnsi="宋体" w:eastAsia="宋体" w:cs="宋体"/>
          <w:color w:val="auto"/>
          <w:spacing w:val="-3"/>
          <w:sz w:val="28"/>
          <w:szCs w:val="28"/>
          <w:highlight w:val="none"/>
          <w:u w:val="single"/>
          <w:lang w:val="en-US" w:eastAsia="zh-CN"/>
        </w:rPr>
        <w:t>无;</w:t>
      </w:r>
    </w:p>
    <w:p w14:paraId="618CD0EF">
      <w:pPr>
        <w:pageBreakBefore w:val="0"/>
        <w:numPr>
          <w:ilvl w:val="1"/>
          <w:numId w:val="19"/>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计量</w:t>
      </w:r>
    </w:p>
    <w:p w14:paraId="678734DA">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12.3.1</w:t>
      </w:r>
      <w:r>
        <w:rPr>
          <w:rFonts w:hint="eastAsia" w:ascii="宋体" w:hAnsi="宋体" w:eastAsia="宋体" w:cs="宋体"/>
          <w:color w:val="auto"/>
          <w:spacing w:val="-2"/>
          <w:sz w:val="28"/>
          <w:szCs w:val="28"/>
          <w:highlight w:val="none"/>
        </w:rPr>
        <w:t>计量原则</w:t>
      </w:r>
    </w:p>
    <w:p w14:paraId="20EC75DF">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工程量计算规则：</w:t>
      </w:r>
      <w:r>
        <w:rPr>
          <w:rFonts w:hint="eastAsia" w:ascii="宋体" w:hAnsi="宋体" w:eastAsia="宋体" w:cs="宋体"/>
          <w:color w:val="auto"/>
          <w:spacing w:val="-3"/>
          <w:sz w:val="28"/>
          <w:szCs w:val="28"/>
          <w:highlight w:val="none"/>
          <w:u w:val="single"/>
        </w:rPr>
        <w:t>工程的计量均以《建设工程工程量清单计价规范》</w:t>
      </w:r>
      <w:r>
        <w:rPr>
          <w:rFonts w:hint="eastAsia" w:ascii="宋体" w:hAnsi="宋体" w:eastAsia="宋体" w:cs="宋体"/>
          <w:color w:val="auto"/>
          <w:spacing w:val="-1"/>
          <w:sz w:val="28"/>
          <w:szCs w:val="28"/>
          <w:highlight w:val="none"/>
          <w:u w:val="single"/>
        </w:rPr>
        <w:t>（GB50500－2013）</w:t>
      </w:r>
      <w:r>
        <w:rPr>
          <w:rFonts w:hint="eastAsia" w:ascii="宋体" w:hAnsi="宋体" w:eastAsia="宋体" w:cs="宋体"/>
          <w:color w:val="auto"/>
          <w:spacing w:val="-3"/>
          <w:sz w:val="28"/>
          <w:szCs w:val="28"/>
          <w:highlight w:val="none"/>
          <w:u w:val="single"/>
        </w:rPr>
        <w:t>和及其广西壮族自治区实施细则、《建设工程工程量清单计算规范》</w:t>
      </w:r>
      <w:r>
        <w:rPr>
          <w:rFonts w:hint="eastAsia" w:ascii="宋体" w:hAnsi="宋体" w:eastAsia="宋体" w:cs="宋体"/>
          <w:color w:val="auto"/>
          <w:spacing w:val="-1"/>
          <w:sz w:val="28"/>
          <w:szCs w:val="28"/>
          <w:highlight w:val="none"/>
          <w:u w:val="single"/>
        </w:rPr>
        <w:t>（GB50854~50862－2013）</w:t>
      </w:r>
      <w:r>
        <w:rPr>
          <w:rFonts w:hint="eastAsia" w:ascii="宋体" w:hAnsi="宋体" w:eastAsia="宋体" w:cs="宋体"/>
          <w:color w:val="auto"/>
          <w:spacing w:val="-3"/>
          <w:sz w:val="28"/>
          <w:szCs w:val="28"/>
          <w:highlight w:val="none"/>
          <w:u w:val="single"/>
        </w:rPr>
        <w:t>及其广西实施细</w:t>
      </w:r>
      <w:r>
        <w:rPr>
          <w:rFonts w:hint="eastAsia" w:ascii="宋体" w:hAnsi="宋体" w:eastAsia="宋体" w:cs="宋体"/>
          <w:color w:val="auto"/>
          <w:sz w:val="28"/>
          <w:szCs w:val="28"/>
          <w:highlight w:val="none"/>
          <w:u w:val="single"/>
        </w:rPr>
        <w:t>则、本工程补充项目清单为准。</w:t>
      </w:r>
    </w:p>
    <w:p w14:paraId="04E10F72">
      <w:pPr>
        <w:pStyle w:val="196"/>
        <w:pageBreakBefore w:val="0"/>
        <w:numPr>
          <w:ilvl w:val="0"/>
          <w:numId w:val="0"/>
        </w:numPr>
        <w:tabs>
          <w:tab w:val="left" w:pos="1104"/>
        </w:tabs>
        <w:kinsoku/>
        <w:overflowPunct/>
        <w:topLinePunct w:val="0"/>
        <w:bidi w:val="0"/>
        <w:snapToGrid/>
        <w:spacing w:before="7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12.3.2</w:t>
      </w:r>
      <w:r>
        <w:rPr>
          <w:rFonts w:hint="eastAsia" w:ascii="宋体" w:hAnsi="宋体" w:eastAsia="宋体" w:cs="宋体"/>
          <w:color w:val="auto"/>
          <w:spacing w:val="-2"/>
          <w:sz w:val="28"/>
          <w:szCs w:val="28"/>
          <w:highlight w:val="none"/>
        </w:rPr>
        <w:t>计量周期</w:t>
      </w:r>
    </w:p>
    <w:p w14:paraId="78AD3C8B">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关于计量周期的约定：</w:t>
      </w:r>
      <w:r>
        <w:rPr>
          <w:rFonts w:hint="eastAsia" w:ascii="宋体" w:hAnsi="宋体" w:eastAsia="宋体" w:cs="宋体"/>
          <w:color w:val="auto"/>
          <w:sz w:val="28"/>
          <w:szCs w:val="28"/>
          <w:highlight w:val="none"/>
          <w:u w:val="single"/>
        </w:rPr>
        <w:t>每月 25 日前</w:t>
      </w:r>
      <w:r>
        <w:rPr>
          <w:rFonts w:hint="eastAsia" w:ascii="宋体" w:hAnsi="宋体" w:eastAsia="宋体" w:cs="宋体"/>
          <w:color w:val="auto"/>
          <w:sz w:val="28"/>
          <w:szCs w:val="28"/>
          <w:highlight w:val="none"/>
        </w:rPr>
        <w:t>。</w:t>
      </w:r>
    </w:p>
    <w:p w14:paraId="4388927C">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12.3.3</w:t>
      </w:r>
      <w:r>
        <w:rPr>
          <w:rFonts w:hint="eastAsia" w:ascii="宋体" w:hAnsi="宋体" w:eastAsia="宋体" w:cs="宋体"/>
          <w:color w:val="auto"/>
          <w:spacing w:val="-3"/>
          <w:sz w:val="28"/>
          <w:szCs w:val="28"/>
          <w:highlight w:val="none"/>
        </w:rPr>
        <w:t xml:space="preserve">单价合同的计量  </w:t>
      </w:r>
      <w:r>
        <w:rPr>
          <w:rFonts w:hint="eastAsia" w:ascii="宋体" w:hAnsi="宋体" w:eastAsia="宋体" w:cs="宋体"/>
          <w:color w:val="auto"/>
          <w:spacing w:val="-4"/>
          <w:sz w:val="28"/>
          <w:szCs w:val="28"/>
          <w:highlight w:val="none"/>
        </w:rPr>
        <w:t>关于单价合同计量的约定：</w:t>
      </w:r>
    </w:p>
    <w:p w14:paraId="1AE3585E">
      <w:pPr>
        <w:pStyle w:val="196"/>
        <w:pageBreakBefore w:val="0"/>
        <w:numPr>
          <w:ilvl w:val="0"/>
          <w:numId w:val="20"/>
        </w:numPr>
        <w:tabs>
          <w:tab w:val="left" w:pos="775"/>
        </w:tabs>
        <w:kinsoku/>
        <w:overflowPunct/>
        <w:topLinePunct w:val="0"/>
        <w:bidi w:val="0"/>
        <w:snapToGrid/>
        <w:spacing w:before="2" w:after="0" w:line="560" w:lineRule="exact"/>
        <w:ind w:left="332" w:right="48" w:rightChars="23" w:firstLine="0"/>
        <w:jc w:val="left"/>
        <w:rPr>
          <w:rFonts w:hint="eastAsia" w:ascii="宋体" w:hAnsi="宋体" w:eastAsia="宋体" w:cs="宋体"/>
          <w:color w:val="auto"/>
          <w:sz w:val="28"/>
          <w:szCs w:val="28"/>
          <w:highlight w:val="none"/>
        </w:rPr>
      </w:pPr>
      <w:r>
        <w:rPr>
          <w:rFonts w:hint="eastAsia" w:ascii="宋体" w:hAnsi="宋体" w:eastAsia="宋体" w:cs="宋体"/>
          <w:color w:val="auto"/>
          <w:spacing w:val="-6"/>
          <w:sz w:val="28"/>
          <w:szCs w:val="28"/>
          <w:highlight w:val="none"/>
        </w:rPr>
        <w:t>工程量清单所列的工程量，不能作为承包人按合同履行其责任依据，实际施工中发生的工程量增</w:t>
      </w:r>
      <w:r>
        <w:rPr>
          <w:rFonts w:hint="eastAsia" w:ascii="宋体" w:hAnsi="宋体" w:eastAsia="宋体" w:cs="宋体"/>
          <w:color w:val="auto"/>
          <w:spacing w:val="-3"/>
          <w:sz w:val="28"/>
          <w:szCs w:val="28"/>
          <w:highlight w:val="none"/>
        </w:rPr>
        <w:t>加或减少并不影响承包人履行合同的责任，工程结算以完成的实际工程量为准。</w:t>
      </w:r>
    </w:p>
    <w:p w14:paraId="5EE6B6E9">
      <w:pPr>
        <w:pStyle w:val="196"/>
        <w:pageBreakBefore w:val="0"/>
        <w:numPr>
          <w:ilvl w:val="0"/>
          <w:numId w:val="20"/>
        </w:numPr>
        <w:tabs>
          <w:tab w:val="left" w:pos="775"/>
        </w:tabs>
        <w:kinsoku/>
        <w:overflowPunct/>
        <w:topLinePunct w:val="0"/>
        <w:bidi w:val="0"/>
        <w:snapToGrid/>
        <w:spacing w:before="0" w:after="0" w:line="560" w:lineRule="exact"/>
        <w:ind w:left="332" w:right="48" w:rightChars="23" w:firstLine="0"/>
        <w:jc w:val="left"/>
        <w:rPr>
          <w:rFonts w:hint="eastAsia" w:ascii="宋体" w:hAnsi="宋体" w:eastAsia="宋体" w:cs="宋体"/>
          <w:color w:val="auto"/>
          <w:sz w:val="28"/>
          <w:szCs w:val="28"/>
          <w:highlight w:val="none"/>
        </w:rPr>
      </w:pPr>
      <w:r>
        <w:rPr>
          <w:rFonts w:hint="eastAsia" w:ascii="宋体" w:hAnsi="宋体" w:eastAsia="宋体" w:cs="宋体"/>
          <w:color w:val="auto"/>
          <w:spacing w:val="-7"/>
          <w:sz w:val="28"/>
          <w:szCs w:val="28"/>
          <w:highlight w:val="none"/>
        </w:rPr>
        <w:t>除另有规定外，工程师应按照合同通过计量来核实确定已完成的工程量和价款，承包人应得到该</w:t>
      </w:r>
      <w:r>
        <w:rPr>
          <w:rFonts w:hint="eastAsia" w:ascii="宋体" w:hAnsi="宋体" w:eastAsia="宋体" w:cs="宋体"/>
          <w:color w:val="auto"/>
          <w:spacing w:val="-3"/>
          <w:sz w:val="28"/>
          <w:szCs w:val="28"/>
          <w:highlight w:val="none"/>
        </w:rPr>
        <w:t>价款扣除保留金后的金额。当工程师要对已完工的工程量进行计量时，应适时地通知承包人参加。</w:t>
      </w:r>
    </w:p>
    <w:p w14:paraId="69A47E9D">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12.3.4</w:t>
      </w:r>
      <w:r>
        <w:rPr>
          <w:rFonts w:hint="eastAsia" w:ascii="宋体" w:hAnsi="宋体" w:eastAsia="宋体" w:cs="宋体"/>
          <w:color w:val="auto"/>
          <w:spacing w:val="-3"/>
          <w:sz w:val="28"/>
          <w:szCs w:val="28"/>
          <w:highlight w:val="none"/>
        </w:rPr>
        <w:t>总价合同的计量</w:t>
      </w:r>
    </w:p>
    <w:p w14:paraId="5262DC48">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6"/>
          <w:sz w:val="28"/>
          <w:szCs w:val="28"/>
          <w:highlight w:val="none"/>
        </w:rPr>
        <w:t>关于总价合同计量的约定：除工程变更外，原图纸范围内的工程量不得按实计量。进度款按支付分解</w:t>
      </w:r>
      <w:r>
        <w:rPr>
          <w:rFonts w:hint="eastAsia" w:ascii="宋体" w:hAnsi="宋体" w:eastAsia="宋体" w:cs="宋体"/>
          <w:color w:val="auto"/>
          <w:spacing w:val="-8"/>
          <w:sz w:val="28"/>
          <w:szCs w:val="28"/>
          <w:highlight w:val="none"/>
        </w:rPr>
        <w:t xml:space="preserve">表支付，按通用条款第 </w:t>
      </w:r>
      <w:r>
        <w:rPr>
          <w:rFonts w:hint="eastAsia" w:ascii="宋体" w:hAnsi="宋体" w:eastAsia="宋体" w:cs="宋体"/>
          <w:color w:val="auto"/>
          <w:sz w:val="28"/>
          <w:szCs w:val="28"/>
          <w:highlight w:val="none"/>
        </w:rPr>
        <w:t>12.3.4</w:t>
      </w:r>
      <w:r>
        <w:rPr>
          <w:rFonts w:hint="eastAsia" w:ascii="宋体" w:hAnsi="宋体" w:eastAsia="宋体" w:cs="宋体"/>
          <w:color w:val="auto"/>
          <w:spacing w:val="-8"/>
          <w:sz w:val="28"/>
          <w:szCs w:val="28"/>
          <w:highlight w:val="none"/>
        </w:rPr>
        <w:t xml:space="preserve"> 项〔总价合同的计量〕约定进行计量，但合同价款按照支付分解表进</w:t>
      </w:r>
      <w:r>
        <w:rPr>
          <w:rFonts w:hint="eastAsia" w:ascii="宋体" w:hAnsi="宋体" w:eastAsia="宋体" w:cs="宋体"/>
          <w:color w:val="auto"/>
          <w:spacing w:val="-3"/>
          <w:sz w:val="28"/>
          <w:szCs w:val="28"/>
          <w:highlight w:val="none"/>
        </w:rPr>
        <w:t>行支付。</w:t>
      </w:r>
    </w:p>
    <w:p w14:paraId="3C748147">
      <w:pPr>
        <w:pStyle w:val="19"/>
        <w:pageBreakBefore w:val="0"/>
        <w:kinsoku/>
        <w:overflowPunct/>
        <w:topLinePunct w:val="0"/>
        <w:bidi w:val="0"/>
        <w:snapToGrid/>
        <w:spacing w:before="5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12.3.6 其他价格形式合同的计量</w:t>
      </w:r>
    </w:p>
    <w:p w14:paraId="2CD5AF70">
      <w:pPr>
        <w:pStyle w:val="19"/>
        <w:pageBreakBefore w:val="0"/>
        <w:tabs>
          <w:tab w:val="left" w:pos="583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价格</w:t>
      </w:r>
      <w:r>
        <w:rPr>
          <w:rFonts w:hint="eastAsia" w:ascii="宋体" w:hAnsi="宋体" w:eastAsia="宋体" w:cs="宋体"/>
          <w:color w:val="auto"/>
          <w:spacing w:val="-3"/>
          <w:sz w:val="28"/>
          <w:szCs w:val="28"/>
          <w:highlight w:val="none"/>
        </w:rPr>
        <w:t>形</w:t>
      </w:r>
      <w:r>
        <w:rPr>
          <w:rFonts w:hint="eastAsia" w:ascii="宋体" w:hAnsi="宋体" w:eastAsia="宋体" w:cs="宋体"/>
          <w:color w:val="auto"/>
          <w:sz w:val="28"/>
          <w:szCs w:val="28"/>
          <w:highlight w:val="none"/>
        </w:rPr>
        <w:t>式的</w:t>
      </w:r>
      <w:r>
        <w:rPr>
          <w:rFonts w:hint="eastAsia" w:ascii="宋体" w:hAnsi="宋体" w:eastAsia="宋体" w:cs="宋体"/>
          <w:color w:val="auto"/>
          <w:spacing w:val="-3"/>
          <w:sz w:val="28"/>
          <w:szCs w:val="28"/>
          <w:highlight w:val="none"/>
        </w:rPr>
        <w:t>计</w:t>
      </w:r>
      <w:r>
        <w:rPr>
          <w:rFonts w:hint="eastAsia" w:ascii="宋体" w:hAnsi="宋体" w:eastAsia="宋体" w:cs="宋体"/>
          <w:color w:val="auto"/>
          <w:sz w:val="28"/>
          <w:szCs w:val="28"/>
          <w:highlight w:val="none"/>
        </w:rPr>
        <w:t>量方</w:t>
      </w:r>
      <w:r>
        <w:rPr>
          <w:rFonts w:hint="eastAsia" w:ascii="宋体" w:hAnsi="宋体" w:eastAsia="宋体" w:cs="宋体"/>
          <w:color w:val="auto"/>
          <w:spacing w:val="-3"/>
          <w:sz w:val="28"/>
          <w:szCs w:val="28"/>
          <w:highlight w:val="none"/>
        </w:rPr>
        <w:t>式</w:t>
      </w:r>
      <w:r>
        <w:rPr>
          <w:rFonts w:hint="eastAsia" w:ascii="宋体" w:hAnsi="宋体" w:eastAsia="宋体" w:cs="宋体"/>
          <w:color w:val="auto"/>
          <w:sz w:val="28"/>
          <w:szCs w:val="28"/>
          <w:highlight w:val="none"/>
        </w:rPr>
        <w:t>和程</w:t>
      </w:r>
      <w:r>
        <w:rPr>
          <w:rFonts w:hint="eastAsia" w:ascii="宋体" w:hAnsi="宋体" w:eastAsia="宋体" w:cs="宋体"/>
          <w:color w:val="auto"/>
          <w:spacing w:val="-3"/>
          <w:sz w:val="28"/>
          <w:szCs w:val="28"/>
          <w:highlight w:val="none"/>
        </w:rPr>
        <w:t>序</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无</w:t>
      </w:r>
    </w:p>
    <w:p w14:paraId="4C2BB033">
      <w:pPr>
        <w:pageBreakBefore w:val="0"/>
        <w:numPr>
          <w:ilvl w:val="1"/>
          <w:numId w:val="19"/>
        </w:numPr>
        <w:tabs>
          <w:tab w:val="left" w:pos="888"/>
        </w:tabs>
        <w:kinsoku/>
        <w:overflowPunct/>
        <w:topLinePunct w:val="0"/>
        <w:bidi w:val="0"/>
        <w:snapToGrid/>
        <w:spacing w:before="191"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工程进度款支付</w:t>
      </w:r>
    </w:p>
    <w:p w14:paraId="5293A84E">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12.4.1</w:t>
      </w:r>
      <w:r>
        <w:rPr>
          <w:rFonts w:hint="eastAsia" w:ascii="宋体" w:hAnsi="宋体" w:eastAsia="宋体" w:cs="宋体"/>
          <w:color w:val="auto"/>
          <w:spacing w:val="-2"/>
          <w:sz w:val="28"/>
          <w:szCs w:val="28"/>
          <w:highlight w:val="none"/>
        </w:rPr>
        <w:t>付款周期</w:t>
      </w:r>
    </w:p>
    <w:p w14:paraId="25E84C84">
      <w:pPr>
        <w:pStyle w:val="19"/>
        <w:pageBreakBefore w:val="0"/>
        <w:tabs>
          <w:tab w:val="left" w:pos="394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none"/>
        </w:rPr>
        <w:t>关于付款周期的约定：</w:t>
      </w:r>
      <w:r>
        <w:rPr>
          <w:rFonts w:hint="eastAsia" w:ascii="宋体" w:hAnsi="宋体" w:eastAsia="宋体" w:cs="宋体"/>
          <w:color w:val="auto"/>
          <w:sz w:val="28"/>
          <w:szCs w:val="28"/>
          <w:highlight w:val="none"/>
          <w:u w:val="single"/>
        </w:rPr>
        <w:t>发包人在承包人安排机械、材料、人员进场</w:t>
      </w:r>
      <w:r>
        <w:rPr>
          <w:rFonts w:hint="eastAsia" w:ascii="宋体" w:hAnsi="宋体" w:eastAsia="宋体" w:cs="宋体"/>
          <w:color w:val="auto"/>
          <w:sz w:val="28"/>
          <w:szCs w:val="28"/>
          <w:highlight w:val="none"/>
          <w:u w:val="single"/>
          <w:lang w:val="en-US" w:eastAsia="zh-CN"/>
        </w:rPr>
        <w:t>后按工程进度支付工程进度款</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合同工程量清单内的进度款支付限额为已完成工程量的80%，工程变更部分进度款支付限额为已完成工程量的</w:t>
      </w:r>
      <w:r>
        <w:rPr>
          <w:rFonts w:hint="eastAsia" w:ascii="宋体" w:hAnsi="宋体" w:eastAsia="宋体" w:cs="宋体"/>
          <w:color w:val="auto"/>
          <w:sz w:val="28"/>
          <w:szCs w:val="28"/>
          <w:highlight w:val="none"/>
          <w:u w:val="single"/>
          <w:lang w:val="en-US" w:eastAsia="zh-CN"/>
        </w:rPr>
        <w:t>6</w:t>
      </w:r>
      <w:r>
        <w:rPr>
          <w:rFonts w:hint="eastAsia" w:ascii="宋体" w:hAnsi="宋体" w:eastAsia="宋体" w:cs="宋体"/>
          <w:color w:val="auto"/>
          <w:sz w:val="28"/>
          <w:szCs w:val="28"/>
          <w:highlight w:val="none"/>
          <w:u w:val="single"/>
        </w:rPr>
        <w:t>0%，完成全部工程量并组织验收合格后在项目竣工结算前,</w:t>
      </w:r>
      <w:r>
        <w:rPr>
          <w:rFonts w:hint="eastAsia" w:ascii="宋体" w:hAnsi="宋体" w:eastAsia="宋体" w:cs="宋体"/>
          <w:color w:val="auto"/>
          <w:sz w:val="28"/>
          <w:szCs w:val="28"/>
          <w:highlight w:val="none"/>
          <w:u w:val="single"/>
          <w:lang w:val="en-US" w:eastAsia="zh-CN"/>
        </w:rPr>
        <w:t>发包人</w:t>
      </w:r>
      <w:r>
        <w:rPr>
          <w:rFonts w:hint="eastAsia" w:ascii="宋体" w:hAnsi="宋体" w:eastAsia="宋体" w:cs="宋体"/>
          <w:color w:val="auto"/>
          <w:sz w:val="28"/>
          <w:szCs w:val="28"/>
          <w:highlight w:val="none"/>
          <w:u w:val="single"/>
        </w:rPr>
        <w:t>支付</w:t>
      </w:r>
      <w:r>
        <w:rPr>
          <w:rFonts w:hint="eastAsia" w:ascii="宋体" w:hAnsi="宋体" w:eastAsia="宋体" w:cs="宋体"/>
          <w:color w:val="auto"/>
          <w:sz w:val="28"/>
          <w:szCs w:val="28"/>
          <w:highlight w:val="none"/>
          <w:u w:val="single"/>
          <w:lang w:val="en-US" w:eastAsia="zh-CN"/>
        </w:rPr>
        <w:t>承包人</w:t>
      </w:r>
      <w:r>
        <w:rPr>
          <w:rFonts w:hint="eastAsia" w:ascii="宋体" w:hAnsi="宋体" w:eastAsia="宋体" w:cs="宋体"/>
          <w:color w:val="auto"/>
          <w:sz w:val="28"/>
          <w:szCs w:val="28"/>
          <w:highlight w:val="none"/>
          <w:u w:val="single"/>
        </w:rPr>
        <w:t>合同内工程款不得超过经审定的已完工程量的90%;合同外工程进度款不得超过经审定的已完工程量的80%，结算经评审部门（机构）审定后工程款支付至结算总额的97%，发包人按工程价款结算总额的3%预留工程质量保修金，待工程保修期满后再清算，原则上发包人应在</w:t>
      </w:r>
      <w:r>
        <w:rPr>
          <w:rFonts w:hint="eastAsia" w:ascii="宋体" w:hAnsi="宋体" w:eastAsia="宋体" w:cs="宋体"/>
          <w:color w:val="auto"/>
          <w:sz w:val="28"/>
          <w:szCs w:val="28"/>
          <w:highlight w:val="none"/>
          <w:u w:val="single"/>
          <w:lang w:val="en-US" w:eastAsia="zh-CN"/>
        </w:rPr>
        <w:t>收到</w:t>
      </w:r>
      <w:r>
        <w:rPr>
          <w:rFonts w:hint="eastAsia" w:ascii="宋体" w:hAnsi="宋体" w:eastAsia="宋体" w:cs="宋体"/>
          <w:color w:val="auto"/>
          <w:sz w:val="28"/>
          <w:szCs w:val="28"/>
          <w:highlight w:val="none"/>
          <w:u w:val="single"/>
        </w:rPr>
        <w:t>承包人开具发票后30日内支付对应的款项。专项资金项目上级另有文件规定的，从其规定。</w:t>
      </w:r>
    </w:p>
    <w:p w14:paraId="21E6CDFD">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12.4.2</w:t>
      </w:r>
      <w:r>
        <w:rPr>
          <w:rFonts w:hint="eastAsia" w:ascii="宋体" w:hAnsi="宋体" w:eastAsia="宋体" w:cs="宋体"/>
          <w:color w:val="auto"/>
          <w:spacing w:val="-3"/>
          <w:sz w:val="28"/>
          <w:szCs w:val="28"/>
          <w:highlight w:val="none"/>
        </w:rPr>
        <w:t>进度付款申请单的编制</w:t>
      </w:r>
    </w:p>
    <w:p w14:paraId="595354A4">
      <w:pPr>
        <w:pStyle w:val="19"/>
        <w:pageBreakBefore w:val="0"/>
        <w:tabs>
          <w:tab w:val="left" w:pos="572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进度</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款申</w:t>
      </w:r>
      <w:r>
        <w:rPr>
          <w:rFonts w:hint="eastAsia" w:ascii="宋体" w:hAnsi="宋体" w:eastAsia="宋体" w:cs="宋体"/>
          <w:color w:val="auto"/>
          <w:spacing w:val="-3"/>
          <w:sz w:val="28"/>
          <w:szCs w:val="28"/>
          <w:highlight w:val="none"/>
        </w:rPr>
        <w:t>请</w:t>
      </w:r>
      <w:r>
        <w:rPr>
          <w:rFonts w:hint="eastAsia" w:ascii="宋体" w:hAnsi="宋体" w:eastAsia="宋体" w:cs="宋体"/>
          <w:color w:val="auto"/>
          <w:sz w:val="28"/>
          <w:szCs w:val="28"/>
          <w:highlight w:val="none"/>
        </w:rPr>
        <w:t>单编</w:t>
      </w:r>
      <w:r>
        <w:rPr>
          <w:rFonts w:hint="eastAsia" w:ascii="宋体" w:hAnsi="宋体" w:eastAsia="宋体" w:cs="宋体"/>
          <w:color w:val="auto"/>
          <w:spacing w:val="-3"/>
          <w:sz w:val="28"/>
          <w:szCs w:val="28"/>
          <w:highlight w:val="none"/>
        </w:rPr>
        <w:t>制</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4D402AA4">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12.4.3</w:t>
      </w:r>
      <w:r>
        <w:rPr>
          <w:rFonts w:hint="eastAsia" w:ascii="宋体" w:hAnsi="宋体" w:eastAsia="宋体" w:cs="宋体"/>
          <w:color w:val="auto"/>
          <w:spacing w:val="-3"/>
          <w:sz w:val="28"/>
          <w:szCs w:val="28"/>
          <w:highlight w:val="none"/>
        </w:rPr>
        <w:t>进度付款申请单的提交</w:t>
      </w:r>
    </w:p>
    <w:p w14:paraId="2E233488">
      <w:pPr>
        <w:pStyle w:val="196"/>
        <w:pageBreakBefore w:val="0"/>
        <w:numPr>
          <w:ilvl w:val="0"/>
          <w:numId w:val="0"/>
        </w:numPr>
        <w:tabs>
          <w:tab w:val="left" w:pos="886"/>
          <w:tab w:val="left" w:pos="671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单</w:t>
      </w:r>
      <w:r>
        <w:rPr>
          <w:rFonts w:hint="eastAsia" w:ascii="宋体" w:hAnsi="宋体" w:eastAsia="宋体" w:cs="宋体"/>
          <w:color w:val="auto"/>
          <w:sz w:val="28"/>
          <w:szCs w:val="28"/>
          <w:highlight w:val="none"/>
        </w:rPr>
        <w:t>价合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进度</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款申</w:t>
      </w:r>
      <w:r>
        <w:rPr>
          <w:rFonts w:hint="eastAsia" w:ascii="宋体" w:hAnsi="宋体" w:eastAsia="宋体" w:cs="宋体"/>
          <w:color w:val="auto"/>
          <w:spacing w:val="-3"/>
          <w:sz w:val="28"/>
          <w:szCs w:val="28"/>
          <w:highlight w:val="none"/>
        </w:rPr>
        <w:t>请</w:t>
      </w:r>
      <w:r>
        <w:rPr>
          <w:rFonts w:hint="eastAsia" w:ascii="宋体" w:hAnsi="宋体" w:eastAsia="宋体" w:cs="宋体"/>
          <w:color w:val="auto"/>
          <w:sz w:val="28"/>
          <w:szCs w:val="28"/>
          <w:highlight w:val="none"/>
        </w:rPr>
        <w:t>单提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61E1B8B8">
      <w:pPr>
        <w:pStyle w:val="196"/>
        <w:pageBreakBefore w:val="0"/>
        <w:numPr>
          <w:ilvl w:val="0"/>
          <w:numId w:val="0"/>
        </w:numPr>
        <w:tabs>
          <w:tab w:val="left" w:pos="886"/>
          <w:tab w:val="left" w:pos="6272"/>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总</w:t>
      </w:r>
      <w:r>
        <w:rPr>
          <w:rFonts w:hint="eastAsia" w:ascii="宋体" w:hAnsi="宋体" w:eastAsia="宋体" w:cs="宋体"/>
          <w:color w:val="auto"/>
          <w:sz w:val="28"/>
          <w:szCs w:val="28"/>
          <w:highlight w:val="none"/>
        </w:rPr>
        <w:t>价合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进度</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款申</w:t>
      </w:r>
      <w:r>
        <w:rPr>
          <w:rFonts w:hint="eastAsia" w:ascii="宋体" w:hAnsi="宋体" w:eastAsia="宋体" w:cs="宋体"/>
          <w:color w:val="auto"/>
          <w:spacing w:val="-3"/>
          <w:sz w:val="28"/>
          <w:szCs w:val="28"/>
          <w:highlight w:val="none"/>
        </w:rPr>
        <w:t>请</w:t>
      </w:r>
      <w:r>
        <w:rPr>
          <w:rFonts w:hint="eastAsia" w:ascii="宋体" w:hAnsi="宋体" w:eastAsia="宋体" w:cs="宋体"/>
          <w:color w:val="auto"/>
          <w:sz w:val="28"/>
          <w:szCs w:val="28"/>
          <w:highlight w:val="none"/>
        </w:rPr>
        <w:t>单提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16444F89">
      <w:pPr>
        <w:pStyle w:val="196"/>
        <w:pageBreakBefore w:val="0"/>
        <w:numPr>
          <w:ilvl w:val="0"/>
          <w:numId w:val="0"/>
        </w:numPr>
        <w:tabs>
          <w:tab w:val="left" w:pos="886"/>
          <w:tab w:val="left" w:pos="7703"/>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他价</w:t>
      </w:r>
      <w:r>
        <w:rPr>
          <w:rFonts w:hint="eastAsia" w:ascii="宋体" w:hAnsi="宋体" w:eastAsia="宋体" w:cs="宋体"/>
          <w:color w:val="auto"/>
          <w:spacing w:val="-3"/>
          <w:sz w:val="28"/>
          <w:szCs w:val="28"/>
          <w:highlight w:val="none"/>
        </w:rPr>
        <w:t>格</w:t>
      </w:r>
      <w:r>
        <w:rPr>
          <w:rFonts w:hint="eastAsia" w:ascii="宋体" w:hAnsi="宋体" w:eastAsia="宋体" w:cs="宋体"/>
          <w:color w:val="auto"/>
          <w:sz w:val="28"/>
          <w:szCs w:val="28"/>
          <w:highlight w:val="none"/>
        </w:rPr>
        <w:t>形式</w:t>
      </w:r>
      <w:r>
        <w:rPr>
          <w:rFonts w:hint="eastAsia" w:ascii="宋体" w:hAnsi="宋体" w:eastAsia="宋体" w:cs="宋体"/>
          <w:color w:val="auto"/>
          <w:spacing w:val="-3"/>
          <w:sz w:val="28"/>
          <w:szCs w:val="28"/>
          <w:highlight w:val="none"/>
        </w:rPr>
        <w:t>合</w:t>
      </w:r>
      <w:r>
        <w:rPr>
          <w:rFonts w:hint="eastAsia" w:ascii="宋体" w:hAnsi="宋体" w:eastAsia="宋体" w:cs="宋体"/>
          <w:color w:val="auto"/>
          <w:sz w:val="28"/>
          <w:szCs w:val="28"/>
          <w:highlight w:val="none"/>
        </w:rPr>
        <w:t>同进</w:t>
      </w:r>
      <w:r>
        <w:rPr>
          <w:rFonts w:hint="eastAsia" w:ascii="宋体" w:hAnsi="宋体" w:eastAsia="宋体" w:cs="宋体"/>
          <w:color w:val="auto"/>
          <w:spacing w:val="-3"/>
          <w:sz w:val="28"/>
          <w:szCs w:val="28"/>
          <w:highlight w:val="none"/>
        </w:rPr>
        <w:t>度</w:t>
      </w:r>
      <w:r>
        <w:rPr>
          <w:rFonts w:hint="eastAsia" w:ascii="宋体" w:hAnsi="宋体" w:eastAsia="宋体" w:cs="宋体"/>
          <w:color w:val="auto"/>
          <w:sz w:val="28"/>
          <w:szCs w:val="28"/>
          <w:highlight w:val="none"/>
        </w:rPr>
        <w:t>付款</w:t>
      </w:r>
      <w:r>
        <w:rPr>
          <w:rFonts w:hint="eastAsia" w:ascii="宋体" w:hAnsi="宋体" w:eastAsia="宋体" w:cs="宋体"/>
          <w:color w:val="auto"/>
          <w:spacing w:val="-3"/>
          <w:sz w:val="28"/>
          <w:szCs w:val="28"/>
          <w:highlight w:val="none"/>
        </w:rPr>
        <w:t>申</w:t>
      </w:r>
      <w:r>
        <w:rPr>
          <w:rFonts w:hint="eastAsia" w:ascii="宋体" w:hAnsi="宋体" w:eastAsia="宋体" w:cs="宋体"/>
          <w:color w:val="auto"/>
          <w:sz w:val="28"/>
          <w:szCs w:val="28"/>
          <w:highlight w:val="none"/>
        </w:rPr>
        <w:t>请单</w:t>
      </w:r>
      <w:r>
        <w:rPr>
          <w:rFonts w:hint="eastAsia" w:ascii="宋体" w:hAnsi="宋体" w:eastAsia="宋体" w:cs="宋体"/>
          <w:color w:val="auto"/>
          <w:spacing w:val="-3"/>
          <w:sz w:val="28"/>
          <w:szCs w:val="28"/>
          <w:highlight w:val="none"/>
        </w:rPr>
        <w:t>提</w:t>
      </w:r>
      <w:r>
        <w:rPr>
          <w:rFonts w:hint="eastAsia" w:ascii="宋体" w:hAnsi="宋体" w:eastAsia="宋体" w:cs="宋体"/>
          <w:color w:val="auto"/>
          <w:sz w:val="28"/>
          <w:szCs w:val="28"/>
          <w:highlight w:val="none"/>
        </w:rPr>
        <w:t>交的</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r>
        <w:rPr>
          <w:rFonts w:hint="eastAsia" w:ascii="宋体" w:hAnsi="宋体" w:eastAsia="宋体" w:cs="宋体"/>
          <w:color w:val="auto"/>
          <w:sz w:val="28"/>
          <w:szCs w:val="28"/>
          <w:highlight w:val="none"/>
          <w:u w:val="single"/>
          <w:lang w:val="en-US" w:eastAsia="zh-CN"/>
        </w:rPr>
        <w:t>/</w:t>
      </w:r>
    </w:p>
    <w:p w14:paraId="35183A08">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12.4.4</w:t>
      </w:r>
      <w:r>
        <w:rPr>
          <w:rFonts w:hint="eastAsia" w:ascii="宋体" w:hAnsi="宋体" w:eastAsia="宋体" w:cs="宋体"/>
          <w:color w:val="auto"/>
          <w:spacing w:val="-3"/>
          <w:sz w:val="28"/>
          <w:szCs w:val="28"/>
          <w:highlight w:val="none"/>
        </w:rPr>
        <w:t>进度款审核和支付</w:t>
      </w:r>
    </w:p>
    <w:p w14:paraId="3F8B8E69">
      <w:pPr>
        <w:pStyle w:val="196"/>
        <w:pageBreakBefore w:val="0"/>
        <w:numPr>
          <w:ilvl w:val="0"/>
          <w:numId w:val="0"/>
        </w:numPr>
        <w:tabs>
          <w:tab w:val="left" w:pos="886"/>
          <w:tab w:val="left" w:pos="6272"/>
          <w:tab w:val="left" w:pos="638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监</w:t>
      </w:r>
      <w:r>
        <w:rPr>
          <w:rFonts w:hint="eastAsia" w:ascii="宋体" w:hAnsi="宋体" w:eastAsia="宋体" w:cs="宋体"/>
          <w:color w:val="auto"/>
          <w:sz w:val="28"/>
          <w:szCs w:val="28"/>
          <w:highlight w:val="none"/>
        </w:rPr>
        <w:t>理人</w:t>
      </w:r>
      <w:r>
        <w:rPr>
          <w:rFonts w:hint="eastAsia" w:ascii="宋体" w:hAnsi="宋体" w:eastAsia="宋体" w:cs="宋体"/>
          <w:color w:val="auto"/>
          <w:spacing w:val="-3"/>
          <w:sz w:val="28"/>
          <w:szCs w:val="28"/>
          <w:highlight w:val="none"/>
        </w:rPr>
        <w:t>审</w:t>
      </w:r>
      <w:r>
        <w:rPr>
          <w:rFonts w:hint="eastAsia" w:ascii="宋体" w:hAnsi="宋体" w:eastAsia="宋体" w:cs="宋体"/>
          <w:color w:val="auto"/>
          <w:sz w:val="28"/>
          <w:szCs w:val="28"/>
          <w:highlight w:val="none"/>
        </w:rPr>
        <w:t>查并</w:t>
      </w:r>
      <w:r>
        <w:rPr>
          <w:rFonts w:hint="eastAsia" w:ascii="宋体" w:hAnsi="宋体" w:eastAsia="宋体" w:cs="宋体"/>
          <w:color w:val="auto"/>
          <w:spacing w:val="-3"/>
          <w:sz w:val="28"/>
          <w:szCs w:val="28"/>
          <w:highlight w:val="none"/>
        </w:rPr>
        <w:t>报</w:t>
      </w:r>
      <w:r>
        <w:rPr>
          <w:rFonts w:hint="eastAsia" w:ascii="宋体" w:hAnsi="宋体" w:eastAsia="宋体" w:cs="宋体"/>
          <w:color w:val="auto"/>
          <w:sz w:val="28"/>
          <w:szCs w:val="28"/>
          <w:highlight w:val="none"/>
        </w:rPr>
        <w:t>送发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人的</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限：</w:t>
      </w:r>
      <w:r>
        <w:rPr>
          <w:rFonts w:hint="eastAsia" w:ascii="宋体" w:hAnsi="宋体" w:eastAsia="宋体" w:cs="宋体"/>
          <w:color w:val="auto"/>
          <w:sz w:val="28"/>
          <w:szCs w:val="28"/>
          <w:highlight w:val="none"/>
          <w:u w:val="single"/>
          <w:lang w:val="en-US" w:eastAsia="zh-CN"/>
        </w:rPr>
        <w:t>/</w:t>
      </w:r>
    </w:p>
    <w:p w14:paraId="6B3CBF40">
      <w:pPr>
        <w:pStyle w:val="196"/>
        <w:pageBreakBefore w:val="0"/>
        <w:numPr>
          <w:ilvl w:val="0"/>
          <w:numId w:val="0"/>
        </w:numPr>
        <w:tabs>
          <w:tab w:val="left" w:pos="886"/>
          <w:tab w:val="left" w:pos="6272"/>
          <w:tab w:val="left" w:pos="638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人完</w:t>
      </w:r>
      <w:r>
        <w:rPr>
          <w:rFonts w:hint="eastAsia" w:ascii="宋体" w:hAnsi="宋体" w:eastAsia="宋体" w:cs="宋体"/>
          <w:color w:val="auto"/>
          <w:spacing w:val="-3"/>
          <w:sz w:val="28"/>
          <w:szCs w:val="28"/>
          <w:highlight w:val="none"/>
        </w:rPr>
        <w:t>成</w:t>
      </w:r>
      <w:r>
        <w:rPr>
          <w:rFonts w:hint="eastAsia" w:ascii="宋体" w:hAnsi="宋体" w:eastAsia="宋体" w:cs="宋体"/>
          <w:color w:val="auto"/>
          <w:sz w:val="28"/>
          <w:szCs w:val="28"/>
          <w:highlight w:val="none"/>
        </w:rPr>
        <w:t>审批</w:t>
      </w:r>
      <w:r>
        <w:rPr>
          <w:rFonts w:hint="eastAsia" w:ascii="宋体" w:hAnsi="宋体" w:eastAsia="宋体" w:cs="宋体"/>
          <w:color w:val="auto"/>
          <w:spacing w:val="-3"/>
          <w:sz w:val="28"/>
          <w:szCs w:val="28"/>
          <w:highlight w:val="none"/>
        </w:rPr>
        <w:t>并</w:t>
      </w:r>
      <w:r>
        <w:rPr>
          <w:rFonts w:hint="eastAsia" w:ascii="宋体" w:hAnsi="宋体" w:eastAsia="宋体" w:cs="宋体"/>
          <w:color w:val="auto"/>
          <w:sz w:val="28"/>
          <w:szCs w:val="28"/>
          <w:highlight w:val="none"/>
        </w:rPr>
        <w:t>签发</w:t>
      </w:r>
      <w:r>
        <w:rPr>
          <w:rFonts w:hint="eastAsia" w:ascii="宋体" w:hAnsi="宋体" w:eastAsia="宋体" w:cs="宋体"/>
          <w:color w:val="auto"/>
          <w:spacing w:val="-3"/>
          <w:sz w:val="28"/>
          <w:szCs w:val="28"/>
          <w:highlight w:val="none"/>
        </w:rPr>
        <w:t>进</w:t>
      </w:r>
      <w:r>
        <w:rPr>
          <w:rFonts w:hint="eastAsia" w:ascii="宋体" w:hAnsi="宋体" w:eastAsia="宋体" w:cs="宋体"/>
          <w:color w:val="auto"/>
          <w:sz w:val="28"/>
          <w:szCs w:val="28"/>
          <w:highlight w:val="none"/>
        </w:rPr>
        <w:t>度款</w:t>
      </w:r>
      <w:r>
        <w:rPr>
          <w:rFonts w:hint="eastAsia" w:ascii="宋体" w:hAnsi="宋体" w:eastAsia="宋体" w:cs="宋体"/>
          <w:color w:val="auto"/>
          <w:spacing w:val="-3"/>
          <w:sz w:val="28"/>
          <w:szCs w:val="28"/>
          <w:highlight w:val="none"/>
        </w:rPr>
        <w:t>支</w:t>
      </w:r>
      <w:r>
        <w:rPr>
          <w:rFonts w:hint="eastAsia" w:ascii="宋体" w:hAnsi="宋体" w:eastAsia="宋体" w:cs="宋体"/>
          <w:color w:val="auto"/>
          <w:sz w:val="28"/>
          <w:szCs w:val="28"/>
          <w:highlight w:val="none"/>
        </w:rPr>
        <w:t>付证</w:t>
      </w:r>
      <w:r>
        <w:rPr>
          <w:rFonts w:hint="eastAsia" w:ascii="宋体" w:hAnsi="宋体" w:eastAsia="宋体" w:cs="宋体"/>
          <w:color w:val="auto"/>
          <w:spacing w:val="-3"/>
          <w:sz w:val="28"/>
          <w:szCs w:val="28"/>
          <w:highlight w:val="none"/>
        </w:rPr>
        <w:t>书</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执行通用条款。</w:t>
      </w:r>
    </w:p>
    <w:p w14:paraId="1A392113">
      <w:pPr>
        <w:pStyle w:val="196"/>
        <w:pageBreakBefore w:val="0"/>
        <w:numPr>
          <w:ilvl w:val="0"/>
          <w:numId w:val="0"/>
        </w:numPr>
        <w:tabs>
          <w:tab w:val="left" w:pos="886"/>
          <w:tab w:val="left" w:pos="605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发</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支</w:t>
      </w:r>
      <w:r>
        <w:rPr>
          <w:rFonts w:hint="eastAsia" w:ascii="宋体" w:hAnsi="宋体" w:eastAsia="宋体" w:cs="宋体"/>
          <w:color w:val="auto"/>
          <w:sz w:val="28"/>
          <w:szCs w:val="28"/>
          <w:highlight w:val="none"/>
        </w:rPr>
        <w:t>付进</w:t>
      </w:r>
      <w:r>
        <w:rPr>
          <w:rFonts w:hint="eastAsia" w:ascii="宋体" w:hAnsi="宋体" w:eastAsia="宋体" w:cs="宋体"/>
          <w:color w:val="auto"/>
          <w:spacing w:val="-3"/>
          <w:sz w:val="28"/>
          <w:szCs w:val="28"/>
          <w:highlight w:val="none"/>
        </w:rPr>
        <w:t>度</w:t>
      </w:r>
      <w:r>
        <w:rPr>
          <w:rFonts w:hint="eastAsia" w:ascii="宋体" w:hAnsi="宋体" w:eastAsia="宋体" w:cs="宋体"/>
          <w:color w:val="auto"/>
          <w:sz w:val="28"/>
          <w:szCs w:val="28"/>
          <w:highlight w:val="none"/>
        </w:rPr>
        <w:t>款的</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限：</w:t>
      </w:r>
      <w:r>
        <w:rPr>
          <w:rFonts w:hint="eastAsia" w:ascii="宋体" w:hAnsi="宋体" w:eastAsia="宋体" w:cs="宋体"/>
          <w:color w:val="auto"/>
          <w:sz w:val="28"/>
          <w:szCs w:val="28"/>
          <w:highlight w:val="none"/>
          <w:u w:val="single"/>
          <w:lang w:val="en-US" w:eastAsia="zh-CN"/>
        </w:rPr>
        <w:t>/</w:t>
      </w:r>
    </w:p>
    <w:p w14:paraId="60FD420E">
      <w:pPr>
        <w:pStyle w:val="19"/>
        <w:pageBreakBefore w:val="0"/>
        <w:tabs>
          <w:tab w:val="left" w:pos="737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人逾</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支付</w:t>
      </w:r>
      <w:r>
        <w:rPr>
          <w:rFonts w:hint="eastAsia" w:ascii="宋体" w:hAnsi="宋体" w:eastAsia="宋体" w:cs="宋体"/>
          <w:color w:val="auto"/>
          <w:spacing w:val="-3"/>
          <w:sz w:val="28"/>
          <w:szCs w:val="28"/>
          <w:highlight w:val="none"/>
        </w:rPr>
        <w:t>进</w:t>
      </w:r>
      <w:r>
        <w:rPr>
          <w:rFonts w:hint="eastAsia" w:ascii="宋体" w:hAnsi="宋体" w:eastAsia="宋体" w:cs="宋体"/>
          <w:color w:val="auto"/>
          <w:sz w:val="28"/>
          <w:szCs w:val="28"/>
          <w:highlight w:val="none"/>
        </w:rPr>
        <w:t>度款</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违约</w:t>
      </w:r>
      <w:r>
        <w:rPr>
          <w:rFonts w:hint="eastAsia" w:ascii="宋体" w:hAnsi="宋体" w:eastAsia="宋体" w:cs="宋体"/>
          <w:color w:val="auto"/>
          <w:spacing w:val="-3"/>
          <w:sz w:val="28"/>
          <w:szCs w:val="28"/>
          <w:highlight w:val="none"/>
        </w:rPr>
        <w:t>金</w:t>
      </w:r>
      <w:r>
        <w:rPr>
          <w:rFonts w:hint="eastAsia" w:ascii="宋体" w:hAnsi="宋体" w:eastAsia="宋体" w:cs="宋体"/>
          <w:color w:val="auto"/>
          <w:sz w:val="28"/>
          <w:szCs w:val="28"/>
          <w:highlight w:val="none"/>
        </w:rPr>
        <w:t>的计</w:t>
      </w:r>
      <w:r>
        <w:rPr>
          <w:rFonts w:hint="eastAsia" w:ascii="宋体" w:hAnsi="宋体" w:eastAsia="宋体" w:cs="宋体"/>
          <w:color w:val="auto"/>
          <w:spacing w:val="-3"/>
          <w:sz w:val="28"/>
          <w:szCs w:val="28"/>
          <w:highlight w:val="none"/>
        </w:rPr>
        <w:t>算</w:t>
      </w:r>
      <w:r>
        <w:rPr>
          <w:rFonts w:hint="eastAsia" w:ascii="宋体" w:hAnsi="宋体" w:eastAsia="宋体" w:cs="宋体"/>
          <w:color w:val="auto"/>
          <w:sz w:val="28"/>
          <w:szCs w:val="28"/>
          <w:highlight w:val="none"/>
        </w:rPr>
        <w:t>方式：</w:t>
      </w:r>
      <w:r>
        <w:rPr>
          <w:rFonts w:hint="eastAsia" w:ascii="宋体" w:hAnsi="宋体" w:eastAsia="宋体" w:cs="宋体"/>
          <w:color w:val="auto"/>
          <w:sz w:val="28"/>
          <w:szCs w:val="28"/>
          <w:highlight w:val="none"/>
          <w:u w:val="single"/>
          <w:lang w:val="en-US" w:eastAsia="zh-CN"/>
        </w:rPr>
        <w:t>/</w:t>
      </w:r>
    </w:p>
    <w:p w14:paraId="5DDEB87F">
      <w:pPr>
        <w:pStyle w:val="19"/>
        <w:pageBreakBefore w:val="0"/>
        <w:tabs>
          <w:tab w:val="left" w:pos="737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进</w:t>
      </w:r>
      <w:r>
        <w:rPr>
          <w:rFonts w:hint="eastAsia" w:ascii="宋体" w:hAnsi="宋体" w:eastAsia="宋体" w:cs="宋体"/>
          <w:color w:val="auto"/>
          <w:spacing w:val="-3"/>
          <w:sz w:val="28"/>
          <w:szCs w:val="28"/>
          <w:highlight w:val="none"/>
        </w:rPr>
        <w:t>度</w:t>
      </w:r>
      <w:r>
        <w:rPr>
          <w:rFonts w:hint="eastAsia" w:ascii="宋体" w:hAnsi="宋体" w:eastAsia="宋体" w:cs="宋体"/>
          <w:color w:val="auto"/>
          <w:sz w:val="28"/>
          <w:szCs w:val="28"/>
          <w:highlight w:val="none"/>
        </w:rPr>
        <w:t>款支</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方式：</w:t>
      </w:r>
      <w:r>
        <w:rPr>
          <w:rFonts w:hint="eastAsia" w:ascii="宋体" w:hAnsi="宋体" w:eastAsia="宋体" w:cs="宋体"/>
          <w:color w:val="auto"/>
          <w:sz w:val="28"/>
          <w:szCs w:val="28"/>
          <w:highlight w:val="none"/>
          <w:u w:val="single"/>
        </w:rPr>
        <w:t>银</w:t>
      </w:r>
      <w:r>
        <w:rPr>
          <w:rFonts w:hint="eastAsia" w:ascii="宋体" w:hAnsi="宋体" w:eastAsia="宋体" w:cs="宋体"/>
          <w:color w:val="auto"/>
          <w:spacing w:val="-3"/>
          <w:sz w:val="28"/>
          <w:szCs w:val="28"/>
          <w:highlight w:val="none"/>
          <w:u w:val="single"/>
        </w:rPr>
        <w:t>行</w:t>
      </w:r>
      <w:r>
        <w:rPr>
          <w:rFonts w:hint="eastAsia" w:ascii="宋体" w:hAnsi="宋体" w:eastAsia="宋体" w:cs="宋体"/>
          <w:color w:val="auto"/>
          <w:sz w:val="28"/>
          <w:szCs w:val="28"/>
          <w:highlight w:val="none"/>
          <w:u w:val="single"/>
        </w:rPr>
        <w:t>转</w:t>
      </w:r>
      <w:r>
        <w:rPr>
          <w:rFonts w:hint="eastAsia" w:ascii="宋体" w:hAnsi="宋体" w:eastAsia="宋体" w:cs="宋体"/>
          <w:color w:val="auto"/>
          <w:spacing w:val="-3"/>
          <w:sz w:val="28"/>
          <w:szCs w:val="28"/>
          <w:highlight w:val="none"/>
          <w:u w:val="single"/>
        </w:rPr>
        <w:t>账</w:t>
      </w:r>
      <w:r>
        <w:rPr>
          <w:rFonts w:hint="eastAsia" w:ascii="宋体" w:hAnsi="宋体" w:eastAsia="宋体" w:cs="宋体"/>
          <w:color w:val="auto"/>
          <w:sz w:val="28"/>
          <w:szCs w:val="28"/>
          <w:highlight w:val="none"/>
        </w:rPr>
        <w:t>。</w:t>
      </w:r>
    </w:p>
    <w:p w14:paraId="37FC8683">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12.4.6 支付分解表的编制</w:t>
      </w:r>
    </w:p>
    <w:p w14:paraId="15282B8B">
      <w:pPr>
        <w:pStyle w:val="196"/>
        <w:pageBreakBefore w:val="0"/>
        <w:numPr>
          <w:ilvl w:val="0"/>
          <w:numId w:val="0"/>
        </w:numPr>
        <w:tabs>
          <w:tab w:val="left" w:pos="664"/>
          <w:tab w:val="left" w:pos="6493"/>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总</w:t>
      </w:r>
      <w:r>
        <w:rPr>
          <w:rFonts w:hint="eastAsia" w:ascii="宋体" w:hAnsi="宋体" w:eastAsia="宋体" w:cs="宋体"/>
          <w:color w:val="auto"/>
          <w:spacing w:val="-3"/>
          <w:sz w:val="28"/>
          <w:szCs w:val="28"/>
          <w:highlight w:val="none"/>
        </w:rPr>
        <w:t>价</w:t>
      </w:r>
      <w:r>
        <w:rPr>
          <w:rFonts w:hint="eastAsia" w:ascii="宋体" w:hAnsi="宋体" w:eastAsia="宋体" w:cs="宋体"/>
          <w:color w:val="auto"/>
          <w:sz w:val="28"/>
          <w:szCs w:val="28"/>
          <w:highlight w:val="none"/>
        </w:rPr>
        <w:t>合同</w:t>
      </w:r>
      <w:r>
        <w:rPr>
          <w:rFonts w:hint="eastAsia" w:ascii="宋体" w:hAnsi="宋体" w:eastAsia="宋体" w:cs="宋体"/>
          <w:color w:val="auto"/>
          <w:spacing w:val="-3"/>
          <w:sz w:val="28"/>
          <w:szCs w:val="28"/>
          <w:highlight w:val="none"/>
        </w:rPr>
        <w:t>支</w:t>
      </w:r>
      <w:r>
        <w:rPr>
          <w:rFonts w:hint="eastAsia" w:ascii="宋体" w:hAnsi="宋体" w:eastAsia="宋体" w:cs="宋体"/>
          <w:color w:val="auto"/>
          <w:sz w:val="28"/>
          <w:szCs w:val="28"/>
          <w:highlight w:val="none"/>
        </w:rPr>
        <w:t>付分</w:t>
      </w:r>
      <w:r>
        <w:rPr>
          <w:rFonts w:hint="eastAsia" w:ascii="宋体" w:hAnsi="宋体" w:eastAsia="宋体" w:cs="宋体"/>
          <w:color w:val="auto"/>
          <w:spacing w:val="-3"/>
          <w:sz w:val="28"/>
          <w:szCs w:val="28"/>
          <w:highlight w:val="none"/>
        </w:rPr>
        <w:t>解</w:t>
      </w:r>
      <w:r>
        <w:rPr>
          <w:rFonts w:hint="eastAsia" w:ascii="宋体" w:hAnsi="宋体" w:eastAsia="宋体" w:cs="宋体"/>
          <w:color w:val="auto"/>
          <w:sz w:val="28"/>
          <w:szCs w:val="28"/>
          <w:highlight w:val="none"/>
        </w:rPr>
        <w:t>表的</w:t>
      </w:r>
      <w:r>
        <w:rPr>
          <w:rFonts w:hint="eastAsia" w:ascii="宋体" w:hAnsi="宋体" w:eastAsia="宋体" w:cs="宋体"/>
          <w:color w:val="auto"/>
          <w:spacing w:val="-3"/>
          <w:sz w:val="28"/>
          <w:szCs w:val="28"/>
          <w:highlight w:val="none"/>
        </w:rPr>
        <w:t>编</w:t>
      </w:r>
      <w:r>
        <w:rPr>
          <w:rFonts w:hint="eastAsia" w:ascii="宋体" w:hAnsi="宋体" w:eastAsia="宋体" w:cs="宋体"/>
          <w:color w:val="auto"/>
          <w:sz w:val="28"/>
          <w:szCs w:val="28"/>
          <w:highlight w:val="none"/>
        </w:rPr>
        <w:t>制与</w:t>
      </w:r>
      <w:r>
        <w:rPr>
          <w:rFonts w:hint="eastAsia" w:ascii="宋体" w:hAnsi="宋体" w:eastAsia="宋体" w:cs="宋体"/>
          <w:color w:val="auto"/>
          <w:spacing w:val="-3"/>
          <w:sz w:val="28"/>
          <w:szCs w:val="28"/>
          <w:highlight w:val="none"/>
        </w:rPr>
        <w:t>审</w:t>
      </w:r>
      <w:r>
        <w:rPr>
          <w:rFonts w:hint="eastAsia" w:ascii="宋体" w:hAnsi="宋体" w:eastAsia="宋体" w:cs="宋体"/>
          <w:color w:val="auto"/>
          <w:sz w:val="28"/>
          <w:szCs w:val="28"/>
          <w:highlight w:val="none"/>
        </w:rPr>
        <w:t>批：</w:t>
      </w:r>
    </w:p>
    <w:p w14:paraId="69EB49C5">
      <w:pPr>
        <w:pStyle w:val="196"/>
        <w:pageBreakBefore w:val="0"/>
        <w:numPr>
          <w:ilvl w:val="0"/>
          <w:numId w:val="0"/>
        </w:numPr>
        <w:tabs>
          <w:tab w:val="left" w:pos="66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10"/>
          <w:sz w:val="28"/>
          <w:szCs w:val="28"/>
          <w:highlight w:val="none"/>
          <w:lang w:val="en-US" w:eastAsia="zh-CN"/>
        </w:rPr>
        <w:t>3.</w:t>
      </w:r>
      <w:r>
        <w:rPr>
          <w:rFonts w:hint="eastAsia" w:ascii="宋体" w:hAnsi="宋体" w:eastAsia="宋体" w:cs="宋体"/>
          <w:color w:val="auto"/>
          <w:spacing w:val="-10"/>
          <w:sz w:val="28"/>
          <w:szCs w:val="28"/>
          <w:highlight w:val="none"/>
        </w:rPr>
        <w:t>单价合同的总价项目支付分解表的编制与审批：总价项目不采用支付分解表的方式计算，而按《建</w:t>
      </w:r>
      <w:r>
        <w:rPr>
          <w:rFonts w:hint="eastAsia" w:ascii="宋体" w:hAnsi="宋体" w:eastAsia="宋体" w:cs="宋体"/>
          <w:color w:val="auto"/>
          <w:spacing w:val="-4"/>
          <w:sz w:val="28"/>
          <w:szCs w:val="28"/>
          <w:highlight w:val="none"/>
        </w:rPr>
        <w:t>设工程预算定额》</w:t>
      </w:r>
      <w:r>
        <w:rPr>
          <w:rFonts w:hint="eastAsia" w:ascii="宋体" w:hAnsi="宋体" w:eastAsia="宋体" w:cs="宋体"/>
          <w:color w:val="auto"/>
          <w:sz w:val="28"/>
          <w:szCs w:val="28"/>
          <w:highlight w:val="none"/>
        </w:rPr>
        <w:t>（JTG</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T</w:t>
      </w:r>
      <w:r>
        <w:rPr>
          <w:rFonts w:hint="eastAsia" w:ascii="宋体" w:hAnsi="宋体" w:eastAsia="宋体" w:cs="宋体"/>
          <w:color w:val="auto"/>
          <w:spacing w:val="-4"/>
          <w:sz w:val="28"/>
          <w:szCs w:val="28"/>
          <w:highlight w:val="none"/>
        </w:rPr>
        <w:t xml:space="preserve"> </w:t>
      </w:r>
      <w:r>
        <w:rPr>
          <w:rFonts w:hint="eastAsia" w:ascii="宋体" w:hAnsi="宋体" w:eastAsia="宋体" w:cs="宋体"/>
          <w:color w:val="auto"/>
          <w:sz w:val="28"/>
          <w:szCs w:val="28"/>
          <w:highlight w:val="none"/>
        </w:rPr>
        <w:t>B06-02-2007）</w:t>
      </w:r>
      <w:r>
        <w:rPr>
          <w:rFonts w:hint="eastAsia" w:ascii="宋体" w:hAnsi="宋体" w:eastAsia="宋体" w:cs="宋体"/>
          <w:color w:val="auto"/>
          <w:spacing w:val="-20"/>
          <w:sz w:val="28"/>
          <w:szCs w:val="28"/>
          <w:highlight w:val="none"/>
        </w:rPr>
        <w:t xml:space="preserve">以及 </w:t>
      </w:r>
      <w:r>
        <w:rPr>
          <w:rFonts w:hint="eastAsia" w:ascii="宋体" w:hAnsi="宋体" w:eastAsia="宋体" w:cs="宋体"/>
          <w:color w:val="auto"/>
          <w:sz w:val="28"/>
          <w:szCs w:val="28"/>
          <w:highlight w:val="none"/>
        </w:rPr>
        <w:t>2016-4-28</w:t>
      </w:r>
      <w:r>
        <w:rPr>
          <w:rFonts w:hint="eastAsia" w:ascii="宋体" w:hAnsi="宋体" w:eastAsia="宋体" w:cs="宋体"/>
          <w:color w:val="auto"/>
          <w:spacing w:val="-9"/>
          <w:sz w:val="28"/>
          <w:szCs w:val="28"/>
          <w:highlight w:val="none"/>
        </w:rPr>
        <w:t xml:space="preserve"> 发布的《建设工程营业税改增值税计价依</w:t>
      </w:r>
      <w:r>
        <w:rPr>
          <w:rFonts w:hint="eastAsia" w:ascii="宋体" w:hAnsi="宋体" w:eastAsia="宋体" w:cs="宋体"/>
          <w:color w:val="auto"/>
          <w:spacing w:val="-3"/>
          <w:sz w:val="28"/>
          <w:szCs w:val="28"/>
          <w:highlight w:val="none"/>
        </w:rPr>
        <w:t>据调整方案》的规定执行。</w:t>
      </w:r>
    </w:p>
    <w:p w14:paraId="01055CAC">
      <w:pPr>
        <w:pageBreakBefore w:val="0"/>
        <w:numPr>
          <w:ilvl w:val="0"/>
          <w:numId w:val="21"/>
        </w:numPr>
        <w:tabs>
          <w:tab w:val="left" w:pos="777"/>
        </w:tabs>
        <w:kinsoku/>
        <w:overflowPunct/>
        <w:topLinePunct w:val="0"/>
        <w:bidi w:val="0"/>
        <w:snapToGrid/>
        <w:spacing w:before="50" w:line="560" w:lineRule="exact"/>
        <w:ind w:left="776" w:right="48" w:rightChars="23" w:hanging="445"/>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验收和工程试车</w:t>
      </w:r>
    </w:p>
    <w:p w14:paraId="05208DAA">
      <w:pPr>
        <w:pageBreakBefore w:val="0"/>
        <w:numPr>
          <w:ilvl w:val="1"/>
          <w:numId w:val="21"/>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分部分项工程验收</w:t>
      </w:r>
    </w:p>
    <w:p w14:paraId="0C01272F">
      <w:pPr>
        <w:pStyle w:val="19"/>
        <w:pageBreakBefore w:val="0"/>
        <w:tabs>
          <w:tab w:val="left" w:pos="3524"/>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13.1.2</w:t>
      </w:r>
      <w:r>
        <w:rPr>
          <w:rFonts w:hint="eastAsia" w:ascii="宋体" w:hAnsi="宋体" w:eastAsia="宋体" w:cs="宋体"/>
          <w:color w:val="auto"/>
          <w:spacing w:val="-54"/>
          <w:sz w:val="28"/>
          <w:szCs w:val="28"/>
          <w:highlight w:val="none"/>
        </w:rPr>
        <w:t xml:space="preserve"> </w:t>
      </w:r>
      <w:r>
        <w:rPr>
          <w:rFonts w:hint="eastAsia" w:ascii="宋体" w:hAnsi="宋体" w:eastAsia="宋体" w:cs="宋体"/>
          <w:color w:val="auto"/>
          <w:sz w:val="28"/>
          <w:szCs w:val="28"/>
          <w:highlight w:val="none"/>
        </w:rPr>
        <w:t>监</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人不</w:t>
      </w:r>
      <w:r>
        <w:rPr>
          <w:rFonts w:hint="eastAsia" w:ascii="宋体" w:hAnsi="宋体" w:eastAsia="宋体" w:cs="宋体"/>
          <w:color w:val="auto"/>
          <w:spacing w:val="-3"/>
          <w:sz w:val="28"/>
          <w:szCs w:val="28"/>
          <w:highlight w:val="none"/>
        </w:rPr>
        <w:t>能</w:t>
      </w:r>
      <w:r>
        <w:rPr>
          <w:rFonts w:hint="eastAsia" w:ascii="宋体" w:hAnsi="宋体" w:eastAsia="宋体" w:cs="宋体"/>
          <w:color w:val="auto"/>
          <w:sz w:val="28"/>
          <w:szCs w:val="28"/>
          <w:highlight w:val="none"/>
        </w:rPr>
        <w:t>按时</w:t>
      </w:r>
      <w:r>
        <w:rPr>
          <w:rFonts w:hint="eastAsia" w:ascii="宋体" w:hAnsi="宋体" w:eastAsia="宋体" w:cs="宋体"/>
          <w:color w:val="auto"/>
          <w:spacing w:val="-3"/>
          <w:sz w:val="28"/>
          <w:szCs w:val="28"/>
          <w:highlight w:val="none"/>
        </w:rPr>
        <w:t>进</w:t>
      </w:r>
      <w:r>
        <w:rPr>
          <w:rFonts w:hint="eastAsia" w:ascii="宋体" w:hAnsi="宋体" w:eastAsia="宋体" w:cs="宋体"/>
          <w:color w:val="auto"/>
          <w:sz w:val="28"/>
          <w:szCs w:val="28"/>
          <w:highlight w:val="none"/>
        </w:rPr>
        <w:t>行验</w:t>
      </w:r>
      <w:r>
        <w:rPr>
          <w:rFonts w:hint="eastAsia" w:ascii="宋体" w:hAnsi="宋体" w:eastAsia="宋体" w:cs="宋体"/>
          <w:color w:val="auto"/>
          <w:spacing w:val="-3"/>
          <w:sz w:val="28"/>
          <w:szCs w:val="28"/>
          <w:highlight w:val="none"/>
        </w:rPr>
        <w:t>收</w:t>
      </w:r>
      <w:r>
        <w:rPr>
          <w:rFonts w:hint="eastAsia" w:ascii="宋体" w:hAnsi="宋体" w:eastAsia="宋体" w:cs="宋体"/>
          <w:color w:val="auto"/>
          <w:sz w:val="28"/>
          <w:szCs w:val="28"/>
          <w:highlight w:val="none"/>
        </w:rPr>
        <w:t>时，</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提前</w:t>
      </w:r>
      <w:r>
        <w:rPr>
          <w:rFonts w:hint="eastAsia" w:ascii="宋体" w:hAnsi="宋体" w:eastAsia="宋体" w:cs="宋体"/>
          <w:color w:val="auto"/>
          <w:spacing w:val="-3"/>
          <w:sz w:val="28"/>
          <w:szCs w:val="28"/>
          <w:highlight w:val="none"/>
        </w:rPr>
        <w:t>小</w:t>
      </w:r>
      <w:r>
        <w:rPr>
          <w:rFonts w:hint="eastAsia" w:ascii="宋体" w:hAnsi="宋体" w:eastAsia="宋体" w:cs="宋体"/>
          <w:color w:val="auto"/>
          <w:sz w:val="28"/>
          <w:szCs w:val="28"/>
          <w:highlight w:val="none"/>
        </w:rPr>
        <w:t>时提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书面</w:t>
      </w:r>
      <w:r>
        <w:rPr>
          <w:rFonts w:hint="eastAsia" w:ascii="宋体" w:hAnsi="宋体" w:eastAsia="宋体" w:cs="宋体"/>
          <w:color w:val="auto"/>
          <w:spacing w:val="-3"/>
          <w:sz w:val="28"/>
          <w:szCs w:val="28"/>
          <w:highlight w:val="none"/>
        </w:rPr>
        <w:t>延</w:t>
      </w:r>
      <w:r>
        <w:rPr>
          <w:rFonts w:hint="eastAsia" w:ascii="宋体" w:hAnsi="宋体" w:eastAsia="宋体" w:cs="宋体"/>
          <w:color w:val="auto"/>
          <w:sz w:val="28"/>
          <w:szCs w:val="28"/>
          <w:highlight w:val="none"/>
        </w:rPr>
        <w:t>期要</w:t>
      </w:r>
      <w:r>
        <w:rPr>
          <w:rFonts w:hint="eastAsia" w:ascii="宋体" w:hAnsi="宋体" w:eastAsia="宋体" w:cs="宋体"/>
          <w:color w:val="auto"/>
          <w:spacing w:val="-3"/>
          <w:sz w:val="28"/>
          <w:szCs w:val="28"/>
          <w:highlight w:val="none"/>
        </w:rPr>
        <w:t>求</w:t>
      </w: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延期</w:t>
      </w:r>
      <w:r>
        <w:rPr>
          <w:rFonts w:hint="eastAsia" w:ascii="宋体" w:hAnsi="宋体" w:eastAsia="宋体" w:cs="宋体"/>
          <w:color w:val="auto"/>
          <w:spacing w:val="-3"/>
          <w:sz w:val="28"/>
          <w:szCs w:val="28"/>
          <w:highlight w:val="none"/>
        </w:rPr>
        <w:t>最</w:t>
      </w:r>
      <w:r>
        <w:rPr>
          <w:rFonts w:hint="eastAsia" w:ascii="宋体" w:hAnsi="宋体" w:eastAsia="宋体" w:cs="宋体"/>
          <w:color w:val="auto"/>
          <w:sz w:val="28"/>
          <w:szCs w:val="28"/>
          <w:highlight w:val="none"/>
        </w:rPr>
        <w:t>长不</w:t>
      </w:r>
      <w:r>
        <w:rPr>
          <w:rFonts w:hint="eastAsia" w:ascii="宋体" w:hAnsi="宋体" w:eastAsia="宋体" w:cs="宋体"/>
          <w:color w:val="auto"/>
          <w:spacing w:val="-3"/>
          <w:sz w:val="28"/>
          <w:szCs w:val="28"/>
          <w:highlight w:val="none"/>
        </w:rPr>
        <w:t>得</w:t>
      </w:r>
      <w:r>
        <w:rPr>
          <w:rFonts w:hint="eastAsia" w:ascii="宋体" w:hAnsi="宋体" w:eastAsia="宋体" w:cs="宋体"/>
          <w:color w:val="auto"/>
          <w:sz w:val="28"/>
          <w:szCs w:val="28"/>
          <w:highlight w:val="none"/>
        </w:rPr>
        <w:t>超过：</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u w:val="single"/>
          <w:lang w:val="en-US" w:eastAsia="zh-CN"/>
        </w:rPr>
        <w:t>/</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小</w:t>
      </w:r>
      <w:r>
        <w:rPr>
          <w:rFonts w:hint="eastAsia" w:ascii="宋体" w:hAnsi="宋体" w:eastAsia="宋体" w:cs="宋体"/>
          <w:color w:val="auto"/>
          <w:spacing w:val="-3"/>
          <w:sz w:val="28"/>
          <w:szCs w:val="28"/>
          <w:highlight w:val="none"/>
        </w:rPr>
        <w:t>时</w:t>
      </w:r>
      <w:r>
        <w:rPr>
          <w:rFonts w:hint="eastAsia" w:ascii="宋体" w:hAnsi="宋体" w:eastAsia="宋体" w:cs="宋体"/>
          <w:color w:val="auto"/>
          <w:sz w:val="28"/>
          <w:szCs w:val="28"/>
          <w:highlight w:val="none"/>
        </w:rPr>
        <w:t>。</w:t>
      </w:r>
    </w:p>
    <w:p w14:paraId="38E578A4">
      <w:pPr>
        <w:pageBreakBefore w:val="0"/>
        <w:numPr>
          <w:ilvl w:val="1"/>
          <w:numId w:val="21"/>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竣工验收</w:t>
      </w:r>
    </w:p>
    <w:p w14:paraId="495E7B77">
      <w:pPr>
        <w:pageBreakBefore w:val="0"/>
        <w:numPr>
          <w:ilvl w:val="0"/>
          <w:numId w:val="0"/>
        </w:numPr>
        <w:tabs>
          <w:tab w:val="left" w:pos="888"/>
        </w:tabs>
        <w:kinsoku/>
        <w:overflowPunct/>
        <w:topLinePunct w:val="0"/>
        <w:bidi w:val="0"/>
        <w:snapToGrid/>
        <w:spacing w:before="0" w:line="560" w:lineRule="exact"/>
        <w:ind w:left="331"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lang w:val="en-US" w:eastAsia="zh-CN"/>
        </w:rPr>
        <w:t>13.2.1</w:t>
      </w:r>
      <w:r>
        <w:rPr>
          <w:rFonts w:hint="eastAsia" w:ascii="宋体" w:hAnsi="宋体" w:eastAsia="宋体" w:cs="宋体"/>
          <w:color w:val="auto"/>
          <w:spacing w:val="-3"/>
          <w:sz w:val="28"/>
          <w:szCs w:val="28"/>
          <w:highlight w:val="none"/>
        </w:rPr>
        <w:t>竣工验收条件</w:t>
      </w:r>
    </w:p>
    <w:p w14:paraId="3332AFB6">
      <w:pPr>
        <w:pStyle w:val="196"/>
        <w:pageBreakBefore w:val="0"/>
        <w:numPr>
          <w:ilvl w:val="0"/>
          <w:numId w:val="0"/>
        </w:numPr>
        <w:tabs>
          <w:tab w:val="left" w:pos="886"/>
          <w:tab w:val="left" w:pos="7484"/>
        </w:tabs>
        <w:kinsoku/>
        <w:overflowPunct/>
        <w:topLinePunct w:val="0"/>
        <w:bidi w:val="0"/>
        <w:snapToGrid/>
        <w:spacing w:before="0" w:after="0" w:line="560" w:lineRule="exact"/>
        <w:ind w:left="332" w:leftChars="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 xml:space="preserve"> （1）</w:t>
      </w:r>
      <w:r>
        <w:rPr>
          <w:rFonts w:hint="eastAsia" w:ascii="宋体" w:hAnsi="宋体" w:eastAsia="宋体" w:cs="宋体"/>
          <w:color w:val="auto"/>
          <w:spacing w:val="-3"/>
          <w:sz w:val="28"/>
          <w:szCs w:val="28"/>
          <w:highlight w:val="none"/>
        </w:rPr>
        <w:t>承</w:t>
      </w:r>
      <w:r>
        <w:rPr>
          <w:rFonts w:hint="eastAsia" w:ascii="宋体" w:hAnsi="宋体" w:eastAsia="宋体" w:cs="宋体"/>
          <w:color w:val="auto"/>
          <w:spacing w:val="-1"/>
          <w:sz w:val="28"/>
          <w:szCs w:val="28"/>
          <w:highlight w:val="none"/>
        </w:rPr>
        <w:t>包人</w:t>
      </w:r>
      <w:r>
        <w:rPr>
          <w:rFonts w:hint="eastAsia" w:ascii="宋体" w:hAnsi="宋体" w:eastAsia="宋体" w:cs="宋体"/>
          <w:color w:val="auto"/>
          <w:spacing w:val="-3"/>
          <w:sz w:val="28"/>
          <w:szCs w:val="28"/>
          <w:highlight w:val="none"/>
        </w:rPr>
        <w:t>负</w:t>
      </w:r>
      <w:r>
        <w:rPr>
          <w:rFonts w:hint="eastAsia" w:ascii="宋体" w:hAnsi="宋体" w:eastAsia="宋体" w:cs="宋体"/>
          <w:color w:val="auto"/>
          <w:sz w:val="28"/>
          <w:szCs w:val="28"/>
          <w:highlight w:val="none"/>
        </w:rPr>
        <w:t>责整</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和提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的竣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验收</w:t>
      </w:r>
      <w:r>
        <w:rPr>
          <w:rFonts w:hint="eastAsia" w:ascii="宋体" w:hAnsi="宋体" w:eastAsia="宋体" w:cs="宋体"/>
          <w:color w:val="auto"/>
          <w:spacing w:val="-3"/>
          <w:sz w:val="28"/>
          <w:szCs w:val="28"/>
          <w:highlight w:val="none"/>
        </w:rPr>
        <w:t>资</w:t>
      </w:r>
      <w:r>
        <w:rPr>
          <w:rFonts w:hint="eastAsia" w:ascii="宋体" w:hAnsi="宋体" w:eastAsia="宋体" w:cs="宋体"/>
          <w:color w:val="auto"/>
          <w:sz w:val="28"/>
          <w:szCs w:val="28"/>
          <w:highlight w:val="none"/>
        </w:rPr>
        <w:t>料应</w:t>
      </w:r>
      <w:r>
        <w:rPr>
          <w:rFonts w:hint="eastAsia" w:ascii="宋体" w:hAnsi="宋体" w:eastAsia="宋体" w:cs="宋体"/>
          <w:color w:val="auto"/>
          <w:spacing w:val="-3"/>
          <w:sz w:val="28"/>
          <w:szCs w:val="28"/>
          <w:highlight w:val="none"/>
        </w:rPr>
        <w:t>当</w:t>
      </w:r>
      <w:r>
        <w:rPr>
          <w:rFonts w:hint="eastAsia" w:ascii="宋体" w:hAnsi="宋体" w:eastAsia="宋体" w:cs="宋体"/>
          <w:color w:val="auto"/>
          <w:sz w:val="28"/>
          <w:szCs w:val="28"/>
          <w:highlight w:val="none"/>
        </w:rPr>
        <w:t>符合</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程所</w:t>
      </w:r>
      <w:r>
        <w:rPr>
          <w:rFonts w:hint="eastAsia" w:ascii="宋体" w:hAnsi="宋体" w:eastAsia="宋体" w:cs="宋体"/>
          <w:color w:val="auto"/>
          <w:spacing w:val="-3"/>
          <w:sz w:val="28"/>
          <w:szCs w:val="28"/>
          <w:highlight w:val="none"/>
        </w:rPr>
        <w:t>在</w:t>
      </w:r>
      <w:r>
        <w:rPr>
          <w:rFonts w:hint="eastAsia" w:ascii="宋体" w:hAnsi="宋体" w:eastAsia="宋体" w:cs="宋体"/>
          <w:color w:val="auto"/>
          <w:sz w:val="28"/>
          <w:szCs w:val="28"/>
          <w:highlight w:val="none"/>
        </w:rPr>
        <w:t>地建</w:t>
      </w:r>
      <w:r>
        <w:rPr>
          <w:rFonts w:hint="eastAsia" w:ascii="宋体" w:hAnsi="宋体" w:eastAsia="宋体" w:cs="宋体"/>
          <w:color w:val="auto"/>
          <w:spacing w:val="-3"/>
          <w:sz w:val="28"/>
          <w:szCs w:val="28"/>
          <w:highlight w:val="none"/>
        </w:rPr>
        <w:t>设</w:t>
      </w:r>
      <w:r>
        <w:rPr>
          <w:rFonts w:hint="eastAsia" w:ascii="宋体" w:hAnsi="宋体" w:eastAsia="宋体" w:cs="宋体"/>
          <w:color w:val="auto"/>
          <w:sz w:val="28"/>
          <w:szCs w:val="28"/>
          <w:highlight w:val="none"/>
        </w:rPr>
        <w:t>行政</w:t>
      </w:r>
      <w:r>
        <w:rPr>
          <w:rFonts w:hint="eastAsia" w:ascii="宋体" w:hAnsi="宋体" w:eastAsia="宋体" w:cs="宋体"/>
          <w:color w:val="auto"/>
          <w:spacing w:val="-3"/>
          <w:sz w:val="28"/>
          <w:szCs w:val="28"/>
          <w:highlight w:val="none"/>
        </w:rPr>
        <w:t>主</w:t>
      </w:r>
      <w:r>
        <w:rPr>
          <w:rFonts w:hint="eastAsia" w:ascii="宋体" w:hAnsi="宋体" w:eastAsia="宋体" w:cs="宋体"/>
          <w:color w:val="auto"/>
          <w:sz w:val="28"/>
          <w:szCs w:val="28"/>
          <w:highlight w:val="none"/>
        </w:rPr>
        <w:t>管部</w:t>
      </w:r>
      <w:r>
        <w:rPr>
          <w:rFonts w:hint="eastAsia" w:ascii="宋体" w:hAnsi="宋体" w:eastAsia="宋体" w:cs="宋体"/>
          <w:color w:val="auto"/>
          <w:spacing w:val="-3"/>
          <w:sz w:val="28"/>
          <w:szCs w:val="28"/>
          <w:highlight w:val="none"/>
        </w:rPr>
        <w:t>门</w:t>
      </w:r>
      <w:r>
        <w:rPr>
          <w:rFonts w:hint="eastAsia" w:ascii="宋体" w:hAnsi="宋体" w:eastAsia="宋体" w:cs="宋体"/>
          <w:color w:val="auto"/>
          <w:sz w:val="28"/>
          <w:szCs w:val="28"/>
          <w:highlight w:val="none"/>
        </w:rPr>
        <w:t>和(</w:t>
      </w:r>
      <w:r>
        <w:rPr>
          <w:rFonts w:hint="eastAsia" w:ascii="宋体" w:hAnsi="宋体" w:eastAsia="宋体" w:cs="宋体"/>
          <w:color w:val="auto"/>
          <w:spacing w:val="-3"/>
          <w:sz w:val="28"/>
          <w:szCs w:val="28"/>
          <w:highlight w:val="none"/>
        </w:rPr>
        <w:t>或</w:t>
      </w:r>
      <w:r>
        <w:rPr>
          <w:rFonts w:hint="eastAsia" w:ascii="宋体" w:hAnsi="宋体" w:eastAsia="宋体" w:cs="宋体"/>
          <w:color w:val="auto"/>
          <w:sz w:val="28"/>
          <w:szCs w:val="28"/>
          <w:highlight w:val="none"/>
        </w:rPr>
        <w:t>)城</w:t>
      </w:r>
      <w:r>
        <w:rPr>
          <w:rFonts w:hint="eastAsia" w:ascii="宋体" w:hAnsi="宋体" w:eastAsia="宋体" w:cs="宋体"/>
          <w:color w:val="auto"/>
          <w:spacing w:val="-3"/>
          <w:sz w:val="28"/>
          <w:szCs w:val="28"/>
          <w:highlight w:val="none"/>
        </w:rPr>
        <w:t>市</w:t>
      </w:r>
      <w:r>
        <w:rPr>
          <w:rFonts w:hint="eastAsia" w:ascii="宋体" w:hAnsi="宋体" w:eastAsia="宋体" w:cs="宋体"/>
          <w:color w:val="auto"/>
          <w:sz w:val="28"/>
          <w:szCs w:val="28"/>
          <w:highlight w:val="none"/>
        </w:rPr>
        <w:t>建设档</w:t>
      </w:r>
      <w:r>
        <w:rPr>
          <w:rFonts w:hint="eastAsia" w:ascii="宋体" w:hAnsi="宋体" w:eastAsia="宋体" w:cs="宋体"/>
          <w:color w:val="auto"/>
          <w:spacing w:val="-3"/>
          <w:sz w:val="28"/>
          <w:szCs w:val="28"/>
          <w:highlight w:val="none"/>
        </w:rPr>
        <w:t>案</w:t>
      </w:r>
      <w:r>
        <w:rPr>
          <w:rFonts w:hint="eastAsia" w:ascii="宋体" w:hAnsi="宋体" w:eastAsia="宋体" w:cs="宋体"/>
          <w:color w:val="auto"/>
          <w:sz w:val="28"/>
          <w:szCs w:val="28"/>
          <w:highlight w:val="none"/>
        </w:rPr>
        <w:t>管理</w:t>
      </w:r>
      <w:r>
        <w:rPr>
          <w:rFonts w:hint="eastAsia" w:ascii="宋体" w:hAnsi="宋体" w:eastAsia="宋体" w:cs="宋体"/>
          <w:color w:val="auto"/>
          <w:spacing w:val="-3"/>
          <w:sz w:val="28"/>
          <w:szCs w:val="28"/>
          <w:highlight w:val="none"/>
        </w:rPr>
        <w:t>机</w:t>
      </w:r>
      <w:r>
        <w:rPr>
          <w:rFonts w:hint="eastAsia" w:ascii="宋体" w:hAnsi="宋体" w:eastAsia="宋体" w:cs="宋体"/>
          <w:color w:val="auto"/>
          <w:sz w:val="28"/>
          <w:szCs w:val="28"/>
          <w:highlight w:val="none"/>
        </w:rPr>
        <w:t>构有</w:t>
      </w:r>
      <w:r>
        <w:rPr>
          <w:rFonts w:hint="eastAsia" w:ascii="宋体" w:hAnsi="宋体" w:eastAsia="宋体" w:cs="宋体"/>
          <w:color w:val="auto"/>
          <w:spacing w:val="-3"/>
          <w:sz w:val="28"/>
          <w:szCs w:val="28"/>
          <w:highlight w:val="none"/>
        </w:rPr>
        <w:t>关</w:t>
      </w:r>
      <w:r>
        <w:rPr>
          <w:rFonts w:hint="eastAsia" w:ascii="宋体" w:hAnsi="宋体" w:eastAsia="宋体" w:cs="宋体"/>
          <w:color w:val="auto"/>
          <w:sz w:val="28"/>
          <w:szCs w:val="28"/>
          <w:highlight w:val="none"/>
        </w:rPr>
        <w:t>施工</w:t>
      </w:r>
      <w:r>
        <w:rPr>
          <w:rFonts w:hint="eastAsia" w:ascii="宋体" w:hAnsi="宋体" w:eastAsia="宋体" w:cs="宋体"/>
          <w:color w:val="auto"/>
          <w:spacing w:val="-3"/>
          <w:sz w:val="28"/>
          <w:szCs w:val="28"/>
          <w:highlight w:val="none"/>
        </w:rPr>
        <w:t>资</w:t>
      </w:r>
      <w:r>
        <w:rPr>
          <w:rFonts w:hint="eastAsia" w:ascii="宋体" w:hAnsi="宋体" w:eastAsia="宋体" w:cs="宋体"/>
          <w:color w:val="auto"/>
          <w:sz w:val="28"/>
          <w:szCs w:val="28"/>
          <w:highlight w:val="none"/>
        </w:rPr>
        <w:t>料的</w:t>
      </w:r>
      <w:r>
        <w:rPr>
          <w:rFonts w:hint="eastAsia" w:ascii="宋体" w:hAnsi="宋体" w:eastAsia="宋体" w:cs="宋体"/>
          <w:color w:val="auto"/>
          <w:spacing w:val="-3"/>
          <w:sz w:val="28"/>
          <w:szCs w:val="28"/>
          <w:highlight w:val="none"/>
        </w:rPr>
        <w:t>要</w:t>
      </w:r>
      <w:r>
        <w:rPr>
          <w:rFonts w:hint="eastAsia" w:ascii="宋体" w:hAnsi="宋体" w:eastAsia="宋体" w:cs="宋体"/>
          <w:color w:val="auto"/>
          <w:sz w:val="28"/>
          <w:szCs w:val="28"/>
          <w:highlight w:val="none"/>
        </w:rPr>
        <w:t>求，</w:t>
      </w:r>
      <w:r>
        <w:rPr>
          <w:rFonts w:hint="eastAsia" w:ascii="宋体" w:hAnsi="宋体" w:eastAsia="宋体" w:cs="宋体"/>
          <w:color w:val="auto"/>
          <w:spacing w:val="-3"/>
          <w:sz w:val="28"/>
          <w:szCs w:val="28"/>
          <w:highlight w:val="none"/>
        </w:rPr>
        <w:t>具</w:t>
      </w:r>
      <w:r>
        <w:rPr>
          <w:rFonts w:hint="eastAsia" w:ascii="宋体" w:hAnsi="宋体" w:eastAsia="宋体" w:cs="宋体"/>
          <w:color w:val="auto"/>
          <w:sz w:val="28"/>
          <w:szCs w:val="28"/>
          <w:highlight w:val="none"/>
        </w:rPr>
        <w:t>体内</w:t>
      </w:r>
      <w:r>
        <w:rPr>
          <w:rFonts w:hint="eastAsia" w:ascii="宋体" w:hAnsi="宋体" w:eastAsia="宋体" w:cs="宋体"/>
          <w:color w:val="auto"/>
          <w:spacing w:val="-3"/>
          <w:sz w:val="28"/>
          <w:szCs w:val="28"/>
          <w:highlight w:val="none"/>
        </w:rPr>
        <w:t>容</w:t>
      </w:r>
      <w:r>
        <w:rPr>
          <w:rFonts w:hint="eastAsia" w:ascii="宋体" w:hAnsi="宋体" w:eastAsia="宋体" w:cs="宋体"/>
          <w:color w:val="auto"/>
          <w:sz w:val="28"/>
          <w:szCs w:val="28"/>
          <w:highlight w:val="none"/>
        </w:rPr>
        <w:t>包括：</w:t>
      </w:r>
      <w:r>
        <w:rPr>
          <w:rFonts w:hint="eastAsia" w:ascii="宋体" w:hAnsi="宋体" w:eastAsia="宋体" w:cs="宋体"/>
          <w:color w:val="auto"/>
          <w:sz w:val="28"/>
          <w:szCs w:val="28"/>
          <w:highlight w:val="none"/>
          <w:u w:val="single"/>
          <w:lang w:val="en-US" w:eastAsia="zh-CN"/>
        </w:rPr>
        <w:t>/</w:t>
      </w:r>
    </w:p>
    <w:p w14:paraId="5E4C6B71">
      <w:pPr>
        <w:pStyle w:val="19"/>
        <w:pageBreakBefore w:val="0"/>
        <w:tabs>
          <w:tab w:val="left" w:pos="4844"/>
        </w:tabs>
        <w:kinsoku/>
        <w:overflowPunct/>
        <w:topLinePunct w:val="0"/>
        <w:bidi w:val="0"/>
        <w:snapToGrid/>
        <w:spacing w:line="560" w:lineRule="exact"/>
        <w:ind w:right="48" w:rightChars="23"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验收</w:t>
      </w:r>
      <w:r>
        <w:rPr>
          <w:rFonts w:hint="eastAsia" w:ascii="宋体" w:hAnsi="宋体" w:eastAsia="宋体" w:cs="宋体"/>
          <w:color w:val="auto"/>
          <w:spacing w:val="-3"/>
          <w:sz w:val="28"/>
          <w:szCs w:val="28"/>
          <w:highlight w:val="none"/>
        </w:rPr>
        <w:t>资</w:t>
      </w:r>
      <w:r>
        <w:rPr>
          <w:rFonts w:hint="eastAsia" w:ascii="宋体" w:hAnsi="宋体" w:eastAsia="宋体" w:cs="宋体"/>
          <w:color w:val="auto"/>
          <w:sz w:val="28"/>
          <w:szCs w:val="28"/>
          <w:highlight w:val="none"/>
        </w:rPr>
        <w:t>料的</w:t>
      </w:r>
      <w:r>
        <w:rPr>
          <w:rFonts w:hint="eastAsia" w:ascii="宋体" w:hAnsi="宋体" w:eastAsia="宋体" w:cs="宋体"/>
          <w:color w:val="auto"/>
          <w:spacing w:val="-3"/>
          <w:sz w:val="28"/>
          <w:szCs w:val="28"/>
          <w:highlight w:val="none"/>
        </w:rPr>
        <w:t>份</w:t>
      </w:r>
      <w:r>
        <w:rPr>
          <w:rFonts w:hint="eastAsia" w:ascii="宋体" w:hAnsi="宋体" w:eastAsia="宋体" w:cs="宋体"/>
          <w:color w:val="auto"/>
          <w:sz w:val="28"/>
          <w:szCs w:val="28"/>
          <w:highlight w:val="none"/>
        </w:rPr>
        <w:t>数：</w:t>
      </w:r>
      <w:r>
        <w:rPr>
          <w:rFonts w:hint="eastAsia" w:ascii="宋体" w:hAnsi="宋体" w:eastAsia="宋体" w:cs="宋体"/>
          <w:color w:val="auto"/>
          <w:sz w:val="28"/>
          <w:szCs w:val="28"/>
          <w:highlight w:val="none"/>
          <w:u w:val="single"/>
          <w:lang w:val="en-US" w:eastAsia="zh-CN"/>
        </w:rPr>
        <w:t>/</w:t>
      </w:r>
    </w:p>
    <w:p w14:paraId="7DC978AF">
      <w:pPr>
        <w:pStyle w:val="19"/>
        <w:pageBreakBefore w:val="0"/>
        <w:kinsoku/>
        <w:overflowPunct/>
        <w:topLinePunct w:val="0"/>
        <w:bidi w:val="0"/>
        <w:snapToGrid/>
        <w:spacing w:line="560" w:lineRule="exact"/>
        <w:ind w:left="332" w:right="48" w:rightChars="23"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承包人提供竣工图的约定：</w:t>
      </w:r>
      <w:r>
        <w:rPr>
          <w:rFonts w:hint="eastAsia" w:ascii="宋体" w:hAnsi="宋体" w:eastAsia="宋体" w:cs="宋体"/>
          <w:color w:val="auto"/>
          <w:sz w:val="28"/>
          <w:szCs w:val="28"/>
          <w:highlight w:val="none"/>
          <w:u w:val="single"/>
        </w:rPr>
        <w:t>竣工验收正式通过后 5 天（工程造价在 500 万元以下含 500 万元）、10天</w:t>
      </w:r>
      <w:r>
        <w:rPr>
          <w:rFonts w:hint="eastAsia" w:ascii="宋体" w:hAnsi="宋体" w:eastAsia="宋体" w:cs="宋体"/>
          <w:color w:val="auto"/>
          <w:spacing w:val="-3"/>
          <w:sz w:val="28"/>
          <w:szCs w:val="28"/>
          <w:highlight w:val="none"/>
          <w:u w:val="single"/>
        </w:rPr>
        <w:t>（</w:t>
      </w:r>
      <w:r>
        <w:rPr>
          <w:rFonts w:hint="eastAsia" w:ascii="宋体" w:hAnsi="宋体" w:eastAsia="宋体" w:cs="宋体"/>
          <w:color w:val="auto"/>
          <w:spacing w:val="-10"/>
          <w:sz w:val="28"/>
          <w:szCs w:val="28"/>
          <w:highlight w:val="none"/>
          <w:u w:val="single"/>
        </w:rPr>
        <w:t xml:space="preserve">工程造价在 </w:t>
      </w:r>
      <w:r>
        <w:rPr>
          <w:rFonts w:hint="eastAsia" w:ascii="宋体" w:hAnsi="宋体" w:eastAsia="宋体" w:cs="宋体"/>
          <w:color w:val="auto"/>
          <w:sz w:val="28"/>
          <w:szCs w:val="28"/>
          <w:highlight w:val="none"/>
          <w:u w:val="single"/>
        </w:rPr>
        <w:t>500</w:t>
      </w:r>
      <w:r>
        <w:rPr>
          <w:rFonts w:hint="eastAsia" w:ascii="宋体" w:hAnsi="宋体" w:eastAsia="宋体" w:cs="宋体"/>
          <w:color w:val="auto"/>
          <w:spacing w:val="-24"/>
          <w:sz w:val="28"/>
          <w:szCs w:val="28"/>
          <w:highlight w:val="none"/>
          <w:u w:val="single"/>
        </w:rPr>
        <w:t xml:space="preserve"> 万元至 </w:t>
      </w:r>
      <w:r>
        <w:rPr>
          <w:rFonts w:hint="eastAsia" w:ascii="宋体" w:hAnsi="宋体" w:eastAsia="宋体" w:cs="宋体"/>
          <w:color w:val="auto"/>
          <w:sz w:val="28"/>
          <w:szCs w:val="28"/>
          <w:highlight w:val="none"/>
          <w:u w:val="single"/>
        </w:rPr>
        <w:t>1000</w:t>
      </w:r>
      <w:r>
        <w:rPr>
          <w:rFonts w:hint="eastAsia" w:ascii="宋体" w:hAnsi="宋体" w:eastAsia="宋体" w:cs="宋体"/>
          <w:color w:val="auto"/>
          <w:spacing w:val="-17"/>
          <w:sz w:val="28"/>
          <w:szCs w:val="28"/>
          <w:highlight w:val="none"/>
          <w:u w:val="single"/>
        </w:rPr>
        <w:t xml:space="preserve"> 万元之间含 </w:t>
      </w:r>
      <w:r>
        <w:rPr>
          <w:rFonts w:hint="eastAsia" w:ascii="宋体" w:hAnsi="宋体" w:eastAsia="宋体" w:cs="宋体"/>
          <w:color w:val="auto"/>
          <w:sz w:val="28"/>
          <w:szCs w:val="28"/>
          <w:highlight w:val="none"/>
          <w:u w:val="single"/>
        </w:rPr>
        <w:t>1000</w:t>
      </w:r>
      <w:r>
        <w:rPr>
          <w:rFonts w:hint="eastAsia" w:ascii="宋体" w:hAnsi="宋体" w:eastAsia="宋体" w:cs="宋体"/>
          <w:color w:val="auto"/>
          <w:spacing w:val="-21"/>
          <w:sz w:val="28"/>
          <w:szCs w:val="28"/>
          <w:highlight w:val="none"/>
          <w:u w:val="single"/>
        </w:rPr>
        <w:t xml:space="preserve"> 万元</w:t>
      </w:r>
      <w:r>
        <w:rPr>
          <w:rFonts w:hint="eastAsia" w:ascii="宋体" w:hAnsi="宋体" w:eastAsia="宋体" w:cs="宋体"/>
          <w:color w:val="auto"/>
          <w:sz w:val="28"/>
          <w:szCs w:val="28"/>
          <w:highlight w:val="none"/>
          <w:u w:val="single"/>
        </w:rPr>
        <w:t>）、15</w:t>
      </w:r>
      <w:r>
        <w:rPr>
          <w:rFonts w:hint="eastAsia" w:ascii="宋体" w:hAnsi="宋体" w:eastAsia="宋体" w:cs="宋体"/>
          <w:color w:val="auto"/>
          <w:spacing w:val="-29"/>
          <w:sz w:val="28"/>
          <w:szCs w:val="28"/>
          <w:highlight w:val="none"/>
          <w:u w:val="single"/>
        </w:rPr>
        <w:t xml:space="preserve"> 天</w:t>
      </w:r>
      <w:r>
        <w:rPr>
          <w:rFonts w:hint="eastAsia" w:ascii="宋体" w:hAnsi="宋体" w:eastAsia="宋体" w:cs="宋体"/>
          <w:color w:val="auto"/>
          <w:spacing w:val="-3"/>
          <w:sz w:val="28"/>
          <w:szCs w:val="28"/>
          <w:highlight w:val="none"/>
          <w:u w:val="single"/>
        </w:rPr>
        <w:t>（</w:t>
      </w:r>
      <w:r>
        <w:rPr>
          <w:rFonts w:hint="eastAsia" w:ascii="宋体" w:hAnsi="宋体" w:eastAsia="宋体" w:cs="宋体"/>
          <w:color w:val="auto"/>
          <w:spacing w:val="-10"/>
          <w:sz w:val="28"/>
          <w:szCs w:val="28"/>
          <w:highlight w:val="none"/>
          <w:u w:val="single"/>
        </w:rPr>
        <w:t xml:space="preserve">工程造价在 </w:t>
      </w:r>
      <w:r>
        <w:rPr>
          <w:rFonts w:hint="eastAsia" w:ascii="宋体" w:hAnsi="宋体" w:eastAsia="宋体" w:cs="宋体"/>
          <w:color w:val="auto"/>
          <w:sz w:val="28"/>
          <w:szCs w:val="28"/>
          <w:highlight w:val="none"/>
          <w:u w:val="single"/>
        </w:rPr>
        <w:t>1000</w:t>
      </w:r>
      <w:r>
        <w:rPr>
          <w:rFonts w:hint="eastAsia" w:ascii="宋体" w:hAnsi="宋体" w:eastAsia="宋体" w:cs="宋体"/>
          <w:color w:val="auto"/>
          <w:spacing w:val="-13"/>
          <w:sz w:val="28"/>
          <w:szCs w:val="28"/>
          <w:highlight w:val="none"/>
          <w:u w:val="single"/>
        </w:rPr>
        <w:t xml:space="preserve"> 万元以上</w:t>
      </w:r>
      <w:r>
        <w:rPr>
          <w:rFonts w:hint="eastAsia" w:ascii="宋体" w:hAnsi="宋体" w:eastAsia="宋体" w:cs="宋体"/>
          <w:color w:val="auto"/>
          <w:sz w:val="28"/>
          <w:szCs w:val="28"/>
          <w:highlight w:val="none"/>
          <w:u w:val="single"/>
        </w:rPr>
        <w:t>），提供竣工图的数量分别为 2 套、4 套、6 套。</w:t>
      </w:r>
    </w:p>
    <w:p w14:paraId="4B4B3897">
      <w:pPr>
        <w:pStyle w:val="196"/>
        <w:pageBreakBefore w:val="0"/>
        <w:numPr>
          <w:ilvl w:val="0"/>
          <w:numId w:val="0"/>
        </w:numPr>
        <w:tabs>
          <w:tab w:val="left" w:pos="1048"/>
        </w:tabs>
        <w:kinsoku/>
        <w:overflowPunct/>
        <w:topLinePunct w:val="0"/>
        <w:bidi w:val="0"/>
        <w:snapToGrid/>
        <w:spacing w:before="7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13.2.2</w:t>
      </w:r>
      <w:r>
        <w:rPr>
          <w:rFonts w:hint="eastAsia" w:ascii="宋体" w:hAnsi="宋体" w:eastAsia="宋体" w:cs="宋体"/>
          <w:color w:val="auto"/>
          <w:spacing w:val="-3"/>
          <w:sz w:val="28"/>
          <w:szCs w:val="28"/>
          <w:highlight w:val="none"/>
        </w:rPr>
        <w:t>竣工验收程序</w:t>
      </w:r>
    </w:p>
    <w:p w14:paraId="77A42113">
      <w:pPr>
        <w:pStyle w:val="19"/>
        <w:pageBreakBefore w:val="0"/>
        <w:tabs>
          <w:tab w:val="left" w:pos="583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验</w:t>
      </w:r>
      <w:r>
        <w:rPr>
          <w:rFonts w:hint="eastAsia" w:ascii="宋体" w:hAnsi="宋体" w:eastAsia="宋体" w:cs="宋体"/>
          <w:color w:val="auto"/>
          <w:sz w:val="28"/>
          <w:szCs w:val="28"/>
          <w:highlight w:val="none"/>
        </w:rPr>
        <w:t>收程</w:t>
      </w:r>
      <w:r>
        <w:rPr>
          <w:rFonts w:hint="eastAsia" w:ascii="宋体" w:hAnsi="宋体" w:eastAsia="宋体" w:cs="宋体"/>
          <w:color w:val="auto"/>
          <w:spacing w:val="-3"/>
          <w:sz w:val="28"/>
          <w:szCs w:val="28"/>
          <w:highlight w:val="none"/>
        </w:rPr>
        <w:t>序</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执行通用条款。</w:t>
      </w:r>
    </w:p>
    <w:p w14:paraId="42AA7725">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发包人不按照本项约定组织竣工验收、颁发工程接收证书的违约金的计算方法：</w:t>
      </w:r>
      <w:r>
        <w:rPr>
          <w:rFonts w:hint="eastAsia" w:ascii="宋体" w:hAnsi="宋体" w:eastAsia="宋体" w:cs="宋体"/>
          <w:color w:val="auto"/>
          <w:sz w:val="28"/>
          <w:szCs w:val="28"/>
          <w:highlight w:val="none"/>
          <w:u w:val="single"/>
          <w:lang w:val="en-US" w:eastAsia="zh-CN"/>
        </w:rPr>
        <w:t>/</w:t>
      </w:r>
    </w:p>
    <w:p w14:paraId="3EC74E67">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13.2.5 移交、接收全部与部分工程</w:t>
      </w:r>
    </w:p>
    <w:p w14:paraId="72BE5593">
      <w:pPr>
        <w:pStyle w:val="19"/>
        <w:pageBreakBefore w:val="0"/>
        <w:tabs>
          <w:tab w:val="left" w:pos="572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人向</w:t>
      </w:r>
      <w:r>
        <w:rPr>
          <w:rFonts w:hint="eastAsia" w:ascii="宋体" w:hAnsi="宋体" w:eastAsia="宋体" w:cs="宋体"/>
          <w:color w:val="auto"/>
          <w:spacing w:val="-3"/>
          <w:sz w:val="28"/>
          <w:szCs w:val="28"/>
          <w:highlight w:val="none"/>
        </w:rPr>
        <w:t>发</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移</w:t>
      </w:r>
      <w:r>
        <w:rPr>
          <w:rFonts w:hint="eastAsia" w:ascii="宋体" w:hAnsi="宋体" w:eastAsia="宋体" w:cs="宋体"/>
          <w:color w:val="auto"/>
          <w:sz w:val="28"/>
          <w:szCs w:val="28"/>
          <w:highlight w:val="none"/>
        </w:rPr>
        <w:t>交工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0ACC0FE3">
      <w:pPr>
        <w:pStyle w:val="19"/>
        <w:pageBreakBefore w:val="0"/>
        <w:tabs>
          <w:tab w:val="left" w:pos="6824"/>
          <w:tab w:val="left" w:pos="8912"/>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人未</w:t>
      </w:r>
      <w:r>
        <w:rPr>
          <w:rFonts w:hint="eastAsia" w:ascii="宋体" w:hAnsi="宋体" w:eastAsia="宋体" w:cs="宋体"/>
          <w:color w:val="auto"/>
          <w:spacing w:val="-3"/>
          <w:sz w:val="28"/>
          <w:szCs w:val="28"/>
          <w:highlight w:val="none"/>
        </w:rPr>
        <w:t>按</w:t>
      </w:r>
      <w:r>
        <w:rPr>
          <w:rFonts w:hint="eastAsia" w:ascii="宋体" w:hAnsi="宋体" w:eastAsia="宋体" w:cs="宋体"/>
          <w:color w:val="auto"/>
          <w:sz w:val="28"/>
          <w:szCs w:val="28"/>
          <w:highlight w:val="none"/>
        </w:rPr>
        <w:t>本合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约定</w:t>
      </w:r>
      <w:r>
        <w:rPr>
          <w:rFonts w:hint="eastAsia" w:ascii="宋体" w:hAnsi="宋体" w:eastAsia="宋体" w:cs="宋体"/>
          <w:color w:val="auto"/>
          <w:spacing w:val="-3"/>
          <w:sz w:val="28"/>
          <w:szCs w:val="28"/>
          <w:highlight w:val="none"/>
        </w:rPr>
        <w:t>接</w:t>
      </w:r>
      <w:r>
        <w:rPr>
          <w:rFonts w:hint="eastAsia" w:ascii="宋体" w:hAnsi="宋体" w:eastAsia="宋体" w:cs="宋体"/>
          <w:color w:val="auto"/>
          <w:sz w:val="28"/>
          <w:szCs w:val="28"/>
          <w:highlight w:val="none"/>
        </w:rPr>
        <w:t>收全</w:t>
      </w:r>
      <w:r>
        <w:rPr>
          <w:rFonts w:hint="eastAsia" w:ascii="宋体" w:hAnsi="宋体" w:eastAsia="宋体" w:cs="宋体"/>
          <w:color w:val="auto"/>
          <w:spacing w:val="-3"/>
          <w:sz w:val="28"/>
          <w:szCs w:val="28"/>
          <w:highlight w:val="none"/>
        </w:rPr>
        <w:t>部</w:t>
      </w:r>
      <w:r>
        <w:rPr>
          <w:rFonts w:hint="eastAsia" w:ascii="宋体" w:hAnsi="宋体" w:eastAsia="宋体" w:cs="宋体"/>
          <w:color w:val="auto"/>
          <w:sz w:val="28"/>
          <w:szCs w:val="28"/>
          <w:highlight w:val="none"/>
        </w:rPr>
        <w:t>或部</w:t>
      </w:r>
      <w:r>
        <w:rPr>
          <w:rFonts w:hint="eastAsia" w:ascii="宋体" w:hAnsi="宋体" w:eastAsia="宋体" w:cs="宋体"/>
          <w:color w:val="auto"/>
          <w:spacing w:val="-3"/>
          <w:sz w:val="28"/>
          <w:szCs w:val="28"/>
          <w:highlight w:val="none"/>
        </w:rPr>
        <w:t>分</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金的</w:t>
      </w:r>
      <w:r>
        <w:rPr>
          <w:rFonts w:hint="eastAsia" w:ascii="宋体" w:hAnsi="宋体" w:eastAsia="宋体" w:cs="宋体"/>
          <w:color w:val="auto"/>
          <w:spacing w:val="-3"/>
          <w:sz w:val="28"/>
          <w:szCs w:val="28"/>
          <w:highlight w:val="none"/>
        </w:rPr>
        <w:t>计</w:t>
      </w:r>
      <w:r>
        <w:rPr>
          <w:rFonts w:hint="eastAsia" w:ascii="宋体" w:hAnsi="宋体" w:eastAsia="宋体" w:cs="宋体"/>
          <w:color w:val="auto"/>
          <w:sz w:val="28"/>
          <w:szCs w:val="28"/>
          <w:highlight w:val="none"/>
        </w:rPr>
        <w:t>算方</w:t>
      </w:r>
      <w:r>
        <w:rPr>
          <w:rFonts w:hint="eastAsia" w:ascii="宋体" w:hAnsi="宋体" w:eastAsia="宋体" w:cs="宋体"/>
          <w:color w:val="auto"/>
          <w:spacing w:val="-3"/>
          <w:sz w:val="28"/>
          <w:szCs w:val="28"/>
          <w:highlight w:val="none"/>
        </w:rPr>
        <w:t>法</w:t>
      </w:r>
      <w:r>
        <w:rPr>
          <w:rFonts w:hint="eastAsia" w:ascii="宋体" w:hAnsi="宋体" w:eastAsia="宋体" w:cs="宋体"/>
          <w:color w:val="auto"/>
          <w:sz w:val="28"/>
          <w:szCs w:val="28"/>
          <w:highlight w:val="none"/>
        </w:rPr>
        <w:t>为：</w:t>
      </w:r>
      <w:r>
        <w:rPr>
          <w:rFonts w:hint="eastAsia" w:ascii="宋体" w:hAnsi="宋体" w:eastAsia="宋体" w:cs="宋体"/>
          <w:color w:val="auto"/>
          <w:sz w:val="28"/>
          <w:szCs w:val="28"/>
          <w:highlight w:val="none"/>
          <w:u w:val="single"/>
          <w:lang w:val="en-US" w:eastAsia="zh-CN"/>
        </w:rPr>
        <w:t>/</w:t>
      </w:r>
    </w:p>
    <w:p w14:paraId="2F1B611A">
      <w:pPr>
        <w:pStyle w:val="19"/>
        <w:pageBreakBefore w:val="0"/>
        <w:tabs>
          <w:tab w:val="left" w:pos="6824"/>
          <w:tab w:val="left" w:pos="8912"/>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人未</w:t>
      </w:r>
      <w:r>
        <w:rPr>
          <w:rFonts w:hint="eastAsia" w:ascii="宋体" w:hAnsi="宋体" w:eastAsia="宋体" w:cs="宋体"/>
          <w:color w:val="auto"/>
          <w:spacing w:val="-3"/>
          <w:sz w:val="28"/>
          <w:szCs w:val="28"/>
          <w:highlight w:val="none"/>
        </w:rPr>
        <w:t>按</w:t>
      </w:r>
      <w:r>
        <w:rPr>
          <w:rFonts w:hint="eastAsia" w:ascii="宋体" w:hAnsi="宋体" w:eastAsia="宋体" w:cs="宋体"/>
          <w:color w:val="auto"/>
          <w:sz w:val="28"/>
          <w:szCs w:val="28"/>
          <w:highlight w:val="none"/>
        </w:rPr>
        <w:t>时移</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金的</w:t>
      </w:r>
      <w:r>
        <w:rPr>
          <w:rFonts w:hint="eastAsia" w:ascii="宋体" w:hAnsi="宋体" w:eastAsia="宋体" w:cs="宋体"/>
          <w:color w:val="auto"/>
          <w:spacing w:val="-3"/>
          <w:sz w:val="28"/>
          <w:szCs w:val="28"/>
          <w:highlight w:val="none"/>
        </w:rPr>
        <w:t>计</w:t>
      </w:r>
      <w:r>
        <w:rPr>
          <w:rFonts w:hint="eastAsia" w:ascii="宋体" w:hAnsi="宋体" w:eastAsia="宋体" w:cs="宋体"/>
          <w:color w:val="auto"/>
          <w:sz w:val="28"/>
          <w:szCs w:val="28"/>
          <w:highlight w:val="none"/>
        </w:rPr>
        <w:t>算方</w:t>
      </w:r>
      <w:r>
        <w:rPr>
          <w:rFonts w:hint="eastAsia" w:ascii="宋体" w:hAnsi="宋体" w:eastAsia="宋体" w:cs="宋体"/>
          <w:color w:val="auto"/>
          <w:spacing w:val="-3"/>
          <w:sz w:val="28"/>
          <w:szCs w:val="28"/>
          <w:highlight w:val="none"/>
        </w:rPr>
        <w:t>法</w:t>
      </w:r>
      <w:r>
        <w:rPr>
          <w:rFonts w:hint="eastAsia" w:ascii="宋体" w:hAnsi="宋体" w:eastAsia="宋体" w:cs="宋体"/>
          <w:color w:val="auto"/>
          <w:sz w:val="28"/>
          <w:szCs w:val="28"/>
          <w:highlight w:val="none"/>
        </w:rPr>
        <w:t>为：</w:t>
      </w:r>
      <w:r>
        <w:rPr>
          <w:rFonts w:hint="eastAsia" w:ascii="宋体" w:hAnsi="宋体" w:eastAsia="宋体" w:cs="宋体"/>
          <w:color w:val="auto"/>
          <w:sz w:val="28"/>
          <w:szCs w:val="28"/>
          <w:highlight w:val="none"/>
          <w:u w:val="single"/>
          <w:lang w:val="en-US" w:eastAsia="zh-CN"/>
        </w:rPr>
        <w:t>/</w:t>
      </w:r>
    </w:p>
    <w:p w14:paraId="05B0AF64">
      <w:pPr>
        <w:pageBreakBefore w:val="0"/>
        <w:numPr>
          <w:ilvl w:val="1"/>
          <w:numId w:val="21"/>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工程试车</w:t>
      </w:r>
    </w:p>
    <w:p w14:paraId="54DF31E0">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13.3.1</w:t>
      </w:r>
      <w:r>
        <w:rPr>
          <w:rFonts w:hint="eastAsia" w:ascii="宋体" w:hAnsi="宋体" w:eastAsia="宋体" w:cs="宋体"/>
          <w:color w:val="auto"/>
          <w:spacing w:val="-2"/>
          <w:sz w:val="28"/>
          <w:szCs w:val="28"/>
          <w:highlight w:val="none"/>
        </w:rPr>
        <w:t>试车程序</w:t>
      </w:r>
    </w:p>
    <w:p w14:paraId="7C88F9C9">
      <w:pPr>
        <w:pStyle w:val="19"/>
        <w:pageBreakBefore w:val="0"/>
        <w:tabs>
          <w:tab w:val="left" w:pos="385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试车</w:t>
      </w:r>
      <w:r>
        <w:rPr>
          <w:rFonts w:hint="eastAsia" w:ascii="宋体" w:hAnsi="宋体" w:eastAsia="宋体" w:cs="宋体"/>
          <w:color w:val="auto"/>
          <w:spacing w:val="-3"/>
          <w:sz w:val="28"/>
          <w:szCs w:val="28"/>
          <w:highlight w:val="none"/>
        </w:rPr>
        <w:t>内</w:t>
      </w:r>
      <w:r>
        <w:rPr>
          <w:rFonts w:hint="eastAsia" w:ascii="宋体" w:hAnsi="宋体" w:eastAsia="宋体" w:cs="宋体"/>
          <w:color w:val="auto"/>
          <w:sz w:val="28"/>
          <w:szCs w:val="28"/>
          <w:highlight w:val="none"/>
        </w:rPr>
        <w:t>容：</w:t>
      </w:r>
    </w:p>
    <w:p w14:paraId="58FAEBFC">
      <w:pPr>
        <w:pStyle w:val="196"/>
        <w:pageBreakBefore w:val="0"/>
        <w:numPr>
          <w:ilvl w:val="0"/>
          <w:numId w:val="0"/>
        </w:numPr>
        <w:tabs>
          <w:tab w:val="left" w:pos="886"/>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单机无负荷试车费用由承担；</w:t>
      </w:r>
    </w:p>
    <w:p w14:paraId="2DD84C94">
      <w:pPr>
        <w:pStyle w:val="196"/>
        <w:pageBreakBefore w:val="0"/>
        <w:numPr>
          <w:ilvl w:val="0"/>
          <w:numId w:val="0"/>
        </w:numPr>
        <w:tabs>
          <w:tab w:val="left" w:pos="886"/>
        </w:tabs>
        <w:kinsoku/>
        <w:overflowPunct/>
        <w:topLinePunct w:val="0"/>
        <w:bidi w:val="0"/>
        <w:snapToGrid/>
        <w:spacing w:before="5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无负荷联动试车费用由承担。</w:t>
      </w:r>
    </w:p>
    <w:p w14:paraId="57871798">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13.3.</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 xml:space="preserve"> 投料试车</w:t>
      </w:r>
    </w:p>
    <w:p w14:paraId="5A4B953F">
      <w:pPr>
        <w:pStyle w:val="19"/>
        <w:pageBreakBefore w:val="0"/>
        <w:tabs>
          <w:tab w:val="left" w:pos="583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投料</w:t>
      </w:r>
      <w:r>
        <w:rPr>
          <w:rFonts w:hint="eastAsia" w:ascii="宋体" w:hAnsi="宋体" w:eastAsia="宋体" w:cs="宋体"/>
          <w:color w:val="auto"/>
          <w:spacing w:val="-3"/>
          <w:sz w:val="28"/>
          <w:szCs w:val="28"/>
          <w:highlight w:val="none"/>
        </w:rPr>
        <w:t>试</w:t>
      </w:r>
      <w:r>
        <w:rPr>
          <w:rFonts w:hint="eastAsia" w:ascii="宋体" w:hAnsi="宋体" w:eastAsia="宋体" w:cs="宋体"/>
          <w:color w:val="auto"/>
          <w:sz w:val="28"/>
          <w:szCs w:val="28"/>
          <w:highlight w:val="none"/>
        </w:rPr>
        <w:t>车相</w:t>
      </w:r>
      <w:r>
        <w:rPr>
          <w:rFonts w:hint="eastAsia" w:ascii="宋体" w:hAnsi="宋体" w:eastAsia="宋体" w:cs="宋体"/>
          <w:color w:val="auto"/>
          <w:spacing w:val="-3"/>
          <w:sz w:val="28"/>
          <w:szCs w:val="28"/>
          <w:highlight w:val="none"/>
        </w:rPr>
        <w:t>关</w:t>
      </w:r>
      <w:r>
        <w:rPr>
          <w:rFonts w:hint="eastAsia" w:ascii="宋体" w:hAnsi="宋体" w:eastAsia="宋体" w:cs="宋体"/>
          <w:color w:val="auto"/>
          <w:sz w:val="28"/>
          <w:szCs w:val="28"/>
          <w:highlight w:val="none"/>
        </w:rPr>
        <w:t>事项</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约定：</w:t>
      </w:r>
      <w:r>
        <w:rPr>
          <w:rFonts w:hint="eastAsia" w:ascii="宋体" w:hAnsi="宋体" w:eastAsia="宋体" w:cs="宋体"/>
          <w:color w:val="auto"/>
          <w:sz w:val="28"/>
          <w:szCs w:val="28"/>
          <w:highlight w:val="none"/>
          <w:u w:val="single"/>
          <w:lang w:val="en-US" w:eastAsia="zh-CN"/>
        </w:rPr>
        <w:t>/</w:t>
      </w:r>
    </w:p>
    <w:p w14:paraId="747A992C">
      <w:pPr>
        <w:pageBreakBefore w:val="0"/>
        <w:numPr>
          <w:ilvl w:val="1"/>
          <w:numId w:val="22"/>
        </w:numPr>
        <w:tabs>
          <w:tab w:val="left" w:pos="888"/>
        </w:tabs>
        <w:kinsoku/>
        <w:overflowPunct/>
        <w:topLinePunct w:val="0"/>
        <w:bidi w:val="0"/>
        <w:snapToGrid/>
        <w:spacing w:before="191"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竣工退场</w:t>
      </w:r>
    </w:p>
    <w:p w14:paraId="6086966F">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13.6.1</w:t>
      </w:r>
      <w:r>
        <w:rPr>
          <w:rFonts w:hint="eastAsia" w:ascii="宋体" w:hAnsi="宋体" w:eastAsia="宋体" w:cs="宋体"/>
          <w:color w:val="auto"/>
          <w:spacing w:val="-2"/>
          <w:sz w:val="28"/>
          <w:szCs w:val="28"/>
          <w:highlight w:val="none"/>
        </w:rPr>
        <w:t>竣工退场</w:t>
      </w:r>
    </w:p>
    <w:p w14:paraId="4A4FF228">
      <w:pPr>
        <w:pStyle w:val="19"/>
        <w:pageBreakBefore w:val="0"/>
        <w:tabs>
          <w:tab w:val="left" w:pos="528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人完</w:t>
      </w:r>
      <w:r>
        <w:rPr>
          <w:rFonts w:hint="eastAsia" w:ascii="宋体" w:hAnsi="宋体" w:eastAsia="宋体" w:cs="宋体"/>
          <w:color w:val="auto"/>
          <w:spacing w:val="-3"/>
          <w:sz w:val="28"/>
          <w:szCs w:val="28"/>
          <w:highlight w:val="none"/>
        </w:rPr>
        <w:t>成</w:t>
      </w: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退</w:t>
      </w:r>
      <w:r>
        <w:rPr>
          <w:rFonts w:hint="eastAsia" w:ascii="宋体" w:hAnsi="宋体" w:eastAsia="宋体" w:cs="宋体"/>
          <w:color w:val="auto"/>
          <w:sz w:val="28"/>
          <w:szCs w:val="28"/>
          <w:highlight w:val="none"/>
        </w:rPr>
        <w:t>场的</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限：</w:t>
      </w:r>
      <w:r>
        <w:rPr>
          <w:rFonts w:hint="eastAsia" w:ascii="宋体" w:hAnsi="宋体" w:eastAsia="宋体" w:cs="宋体"/>
          <w:color w:val="auto"/>
          <w:sz w:val="28"/>
          <w:szCs w:val="28"/>
          <w:highlight w:val="none"/>
          <w:u w:val="single"/>
          <w:lang w:val="en-US" w:eastAsia="zh-CN"/>
        </w:rPr>
        <w:t>/</w:t>
      </w:r>
    </w:p>
    <w:p w14:paraId="0BB7187F">
      <w:pPr>
        <w:pageBreakBefore w:val="0"/>
        <w:numPr>
          <w:ilvl w:val="0"/>
          <w:numId w:val="21"/>
        </w:numPr>
        <w:tabs>
          <w:tab w:val="left" w:pos="777"/>
        </w:tabs>
        <w:kinsoku/>
        <w:overflowPunct/>
        <w:topLinePunct w:val="0"/>
        <w:bidi w:val="0"/>
        <w:snapToGrid/>
        <w:spacing w:before="191" w:line="560" w:lineRule="exact"/>
        <w:ind w:left="776" w:right="48" w:rightChars="23" w:hanging="445"/>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竣工结算</w:t>
      </w:r>
    </w:p>
    <w:p w14:paraId="23EEC214">
      <w:pPr>
        <w:pageBreakBefore w:val="0"/>
        <w:numPr>
          <w:ilvl w:val="1"/>
          <w:numId w:val="21"/>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竣工付款申请</w:t>
      </w:r>
    </w:p>
    <w:p w14:paraId="4E74472D">
      <w:pPr>
        <w:pStyle w:val="19"/>
        <w:pageBreakBefore w:val="0"/>
        <w:tabs>
          <w:tab w:val="left" w:pos="5723"/>
          <w:tab w:val="left" w:pos="594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款申</w:t>
      </w:r>
      <w:r>
        <w:rPr>
          <w:rFonts w:hint="eastAsia" w:ascii="宋体" w:hAnsi="宋体" w:eastAsia="宋体" w:cs="宋体"/>
          <w:color w:val="auto"/>
          <w:spacing w:val="-3"/>
          <w:sz w:val="28"/>
          <w:szCs w:val="28"/>
          <w:highlight w:val="none"/>
        </w:rPr>
        <w:t>请</w:t>
      </w:r>
      <w:r>
        <w:rPr>
          <w:rFonts w:hint="eastAsia" w:ascii="宋体" w:hAnsi="宋体" w:eastAsia="宋体" w:cs="宋体"/>
          <w:color w:val="auto"/>
          <w:sz w:val="28"/>
          <w:szCs w:val="28"/>
          <w:highlight w:val="none"/>
        </w:rPr>
        <w:t>单的</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限：</w:t>
      </w:r>
      <w:r>
        <w:rPr>
          <w:rFonts w:hint="eastAsia" w:ascii="宋体" w:hAnsi="宋体" w:eastAsia="宋体" w:cs="宋体"/>
          <w:color w:val="auto"/>
          <w:sz w:val="28"/>
          <w:szCs w:val="28"/>
          <w:highlight w:val="none"/>
          <w:u w:val="single"/>
          <w:lang w:val="en-US" w:eastAsia="zh-CN"/>
        </w:rPr>
        <w:t>/</w:t>
      </w:r>
    </w:p>
    <w:p w14:paraId="3966E9F3">
      <w:pPr>
        <w:pStyle w:val="19"/>
        <w:pageBreakBefore w:val="0"/>
        <w:tabs>
          <w:tab w:val="left" w:pos="5723"/>
          <w:tab w:val="left" w:pos="594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竣</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付款</w:t>
      </w:r>
      <w:r>
        <w:rPr>
          <w:rFonts w:hint="eastAsia" w:ascii="宋体" w:hAnsi="宋体" w:eastAsia="宋体" w:cs="宋体"/>
          <w:color w:val="auto"/>
          <w:spacing w:val="-3"/>
          <w:sz w:val="28"/>
          <w:szCs w:val="28"/>
          <w:highlight w:val="none"/>
        </w:rPr>
        <w:t>申</w:t>
      </w:r>
      <w:r>
        <w:rPr>
          <w:rFonts w:hint="eastAsia" w:ascii="宋体" w:hAnsi="宋体" w:eastAsia="宋体" w:cs="宋体"/>
          <w:color w:val="auto"/>
          <w:sz w:val="28"/>
          <w:szCs w:val="28"/>
          <w:highlight w:val="none"/>
        </w:rPr>
        <w:t>请单</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包括</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内容：</w:t>
      </w:r>
      <w:r>
        <w:rPr>
          <w:rFonts w:hint="eastAsia" w:ascii="宋体" w:hAnsi="宋体" w:eastAsia="宋体" w:cs="宋体"/>
          <w:color w:val="auto"/>
          <w:sz w:val="28"/>
          <w:szCs w:val="28"/>
          <w:highlight w:val="none"/>
          <w:u w:val="single"/>
          <w:lang w:val="en-US" w:eastAsia="zh-CN"/>
        </w:rPr>
        <w:t>/</w:t>
      </w:r>
    </w:p>
    <w:p w14:paraId="61839CAB">
      <w:pPr>
        <w:pageBreakBefore w:val="0"/>
        <w:numPr>
          <w:ilvl w:val="1"/>
          <w:numId w:val="21"/>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rPr>
      </w:pPr>
      <w:r>
        <w:rPr>
          <w:rFonts w:hint="eastAsia" w:ascii="宋体" w:hAnsi="宋体" w:eastAsia="宋体" w:cs="宋体"/>
          <w:b/>
          <w:color w:val="auto"/>
          <w:sz w:val="28"/>
          <w:szCs w:val="28"/>
          <w:highlight w:val="none"/>
        </w:rPr>
        <w:t>竣工结算审核</w:t>
      </w:r>
    </w:p>
    <w:p w14:paraId="2D507324">
      <w:pPr>
        <w:pStyle w:val="19"/>
        <w:pageBreakBefore w:val="0"/>
        <w:kinsoku/>
        <w:overflowPunct/>
        <w:topLinePunct w:val="0"/>
        <w:bidi w:val="0"/>
        <w:snapToGrid/>
        <w:spacing w:line="560" w:lineRule="exact"/>
        <w:ind w:right="48" w:rightChars="23"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发包人审批竣工付款申请单的期限：</w:t>
      </w:r>
    </w:p>
    <w:tbl>
      <w:tblPr>
        <w:tblStyle w:val="45"/>
        <w:tblW w:w="0" w:type="auto"/>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8"/>
        <w:gridCol w:w="2947"/>
        <w:gridCol w:w="6090"/>
      </w:tblGrid>
      <w:tr w14:paraId="636B3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18" w:type="dxa"/>
            <w:noWrap w:val="0"/>
            <w:vAlign w:val="top"/>
          </w:tcPr>
          <w:p w14:paraId="6BD6DB0D">
            <w:pPr>
              <w:pStyle w:val="202"/>
              <w:pageBreakBefore w:val="0"/>
              <w:kinsoku/>
              <w:overflowPunct/>
              <w:topLinePunct w:val="0"/>
              <w:bidi w:val="0"/>
              <w:snapToGrid/>
              <w:spacing w:line="560" w:lineRule="exact"/>
              <w:ind w:right="48" w:rightChars="23"/>
              <w:rPr>
                <w:rFonts w:hint="eastAsia" w:ascii="宋体" w:hAnsi="宋体" w:eastAsia="宋体" w:cs="宋体"/>
                <w:color w:val="auto"/>
                <w:sz w:val="28"/>
                <w:szCs w:val="28"/>
                <w:highlight w:val="none"/>
              </w:rPr>
            </w:pPr>
          </w:p>
        </w:tc>
        <w:tc>
          <w:tcPr>
            <w:tcW w:w="2947" w:type="dxa"/>
            <w:noWrap w:val="0"/>
            <w:vAlign w:val="center"/>
          </w:tcPr>
          <w:p w14:paraId="579840F3">
            <w:pPr>
              <w:pStyle w:val="202"/>
              <w:pageBreakBefore w:val="0"/>
              <w:kinsoku/>
              <w:overflowPunct/>
              <w:topLinePunct w:val="0"/>
              <w:bidi w:val="0"/>
              <w:snapToGrid/>
              <w:spacing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工程竣工结算报告金额</w:t>
            </w:r>
          </w:p>
        </w:tc>
        <w:tc>
          <w:tcPr>
            <w:tcW w:w="6090" w:type="dxa"/>
            <w:noWrap w:val="0"/>
            <w:vAlign w:val="top"/>
          </w:tcPr>
          <w:p w14:paraId="079D6D09">
            <w:pPr>
              <w:pStyle w:val="202"/>
              <w:pageBreakBefore w:val="0"/>
              <w:kinsoku/>
              <w:overflowPunct/>
              <w:topLinePunct w:val="0"/>
              <w:bidi w:val="0"/>
              <w:snapToGrid/>
              <w:spacing w:line="560" w:lineRule="exact"/>
              <w:ind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发包人审查时间</w:t>
            </w:r>
          </w:p>
        </w:tc>
      </w:tr>
      <w:tr w14:paraId="3FE0E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818" w:type="dxa"/>
            <w:noWrap w:val="0"/>
            <w:vAlign w:val="center"/>
          </w:tcPr>
          <w:p w14:paraId="1E873F41">
            <w:pPr>
              <w:pStyle w:val="202"/>
              <w:pageBreakBefore w:val="0"/>
              <w:kinsoku/>
              <w:overflowPunct/>
              <w:topLinePunct w:val="0"/>
              <w:bidi w:val="0"/>
              <w:snapToGrid/>
              <w:spacing w:before="1"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w w:val="100"/>
                <w:sz w:val="28"/>
                <w:szCs w:val="28"/>
                <w:highlight w:val="none"/>
              </w:rPr>
              <w:t>1</w:t>
            </w:r>
          </w:p>
        </w:tc>
        <w:tc>
          <w:tcPr>
            <w:tcW w:w="2947" w:type="dxa"/>
            <w:noWrap w:val="0"/>
            <w:vAlign w:val="center"/>
          </w:tcPr>
          <w:p w14:paraId="0CF82D0E">
            <w:pPr>
              <w:pStyle w:val="202"/>
              <w:pageBreakBefore w:val="0"/>
              <w:kinsoku/>
              <w:overflowPunct/>
              <w:topLinePunct w:val="0"/>
              <w:bidi w:val="0"/>
              <w:snapToGrid/>
              <w:spacing w:before="1" w:line="560" w:lineRule="exact"/>
              <w:ind w:right="48" w:rightChars="23" w:firstLine="280" w:firstLineChars="1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500 万元以下</w:t>
            </w:r>
          </w:p>
        </w:tc>
        <w:tc>
          <w:tcPr>
            <w:tcW w:w="6090" w:type="dxa"/>
            <w:noWrap w:val="0"/>
            <w:vAlign w:val="center"/>
          </w:tcPr>
          <w:p w14:paraId="313D8498">
            <w:pPr>
              <w:pStyle w:val="202"/>
              <w:pageBreakBefore w:val="0"/>
              <w:kinsoku/>
              <w:overflowPunct/>
              <w:topLinePunct w:val="0"/>
              <w:bidi w:val="0"/>
              <w:snapToGrid/>
              <w:spacing w:before="1" w:line="560" w:lineRule="exact"/>
              <w:ind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从接到竣工结算报告和完整的竣工结算资料之日起 20 天</w:t>
            </w:r>
          </w:p>
        </w:tc>
      </w:tr>
      <w:tr w14:paraId="2FC4B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18" w:type="dxa"/>
            <w:noWrap w:val="0"/>
            <w:vAlign w:val="center"/>
          </w:tcPr>
          <w:p w14:paraId="36D3779A">
            <w:pPr>
              <w:pStyle w:val="202"/>
              <w:pageBreakBefore w:val="0"/>
              <w:kinsoku/>
              <w:overflowPunct/>
              <w:topLinePunct w:val="0"/>
              <w:bidi w:val="0"/>
              <w:snapToGrid/>
              <w:spacing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w w:val="100"/>
                <w:sz w:val="28"/>
                <w:szCs w:val="28"/>
                <w:highlight w:val="none"/>
              </w:rPr>
              <w:t>2</w:t>
            </w:r>
          </w:p>
        </w:tc>
        <w:tc>
          <w:tcPr>
            <w:tcW w:w="2947" w:type="dxa"/>
            <w:noWrap w:val="0"/>
            <w:vAlign w:val="center"/>
          </w:tcPr>
          <w:p w14:paraId="0F429D51">
            <w:pPr>
              <w:pStyle w:val="202"/>
              <w:pageBreakBefore w:val="0"/>
              <w:kinsoku/>
              <w:overflowPunct/>
              <w:topLinePunct w:val="0"/>
              <w:bidi w:val="0"/>
              <w:snapToGrid/>
              <w:spacing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500 万元-2000 万元</w:t>
            </w:r>
          </w:p>
        </w:tc>
        <w:tc>
          <w:tcPr>
            <w:tcW w:w="6090" w:type="dxa"/>
            <w:noWrap w:val="0"/>
            <w:vAlign w:val="center"/>
          </w:tcPr>
          <w:p w14:paraId="5F467083">
            <w:pPr>
              <w:pStyle w:val="202"/>
              <w:pageBreakBefore w:val="0"/>
              <w:kinsoku/>
              <w:overflowPunct/>
              <w:topLinePunct w:val="0"/>
              <w:bidi w:val="0"/>
              <w:snapToGrid/>
              <w:spacing w:line="560" w:lineRule="exact"/>
              <w:ind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从接到竣工结算报告和完整的竣工结算资料之日起 30 天</w:t>
            </w:r>
          </w:p>
        </w:tc>
      </w:tr>
      <w:tr w14:paraId="6B74E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18" w:type="dxa"/>
            <w:noWrap w:val="0"/>
            <w:vAlign w:val="center"/>
          </w:tcPr>
          <w:p w14:paraId="01A8B96B">
            <w:pPr>
              <w:pStyle w:val="202"/>
              <w:pageBreakBefore w:val="0"/>
              <w:kinsoku/>
              <w:overflowPunct/>
              <w:topLinePunct w:val="0"/>
              <w:bidi w:val="0"/>
              <w:snapToGrid/>
              <w:spacing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w w:val="100"/>
                <w:sz w:val="28"/>
                <w:szCs w:val="28"/>
                <w:highlight w:val="none"/>
              </w:rPr>
              <w:t>3</w:t>
            </w:r>
          </w:p>
        </w:tc>
        <w:tc>
          <w:tcPr>
            <w:tcW w:w="2947" w:type="dxa"/>
            <w:noWrap w:val="0"/>
            <w:vAlign w:val="center"/>
          </w:tcPr>
          <w:p w14:paraId="02D8678F">
            <w:pPr>
              <w:pStyle w:val="202"/>
              <w:pageBreakBefore w:val="0"/>
              <w:kinsoku/>
              <w:overflowPunct/>
              <w:topLinePunct w:val="0"/>
              <w:bidi w:val="0"/>
              <w:snapToGrid/>
              <w:spacing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2000 万元-5000 万元</w:t>
            </w:r>
          </w:p>
        </w:tc>
        <w:tc>
          <w:tcPr>
            <w:tcW w:w="6090" w:type="dxa"/>
            <w:noWrap w:val="0"/>
            <w:vAlign w:val="center"/>
          </w:tcPr>
          <w:p w14:paraId="6CB815D4">
            <w:pPr>
              <w:pStyle w:val="202"/>
              <w:pageBreakBefore w:val="0"/>
              <w:kinsoku/>
              <w:overflowPunct/>
              <w:topLinePunct w:val="0"/>
              <w:bidi w:val="0"/>
              <w:snapToGrid/>
              <w:spacing w:line="560" w:lineRule="exact"/>
              <w:ind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从接到竣工结算报告和完整的竣工结算资料之日起 45 天</w:t>
            </w:r>
          </w:p>
        </w:tc>
      </w:tr>
      <w:tr w14:paraId="7D7A4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818" w:type="dxa"/>
            <w:noWrap w:val="0"/>
            <w:vAlign w:val="center"/>
          </w:tcPr>
          <w:p w14:paraId="42231728">
            <w:pPr>
              <w:pStyle w:val="202"/>
              <w:pageBreakBefore w:val="0"/>
              <w:kinsoku/>
              <w:overflowPunct/>
              <w:topLinePunct w:val="0"/>
              <w:bidi w:val="0"/>
              <w:snapToGrid/>
              <w:spacing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w w:val="100"/>
                <w:sz w:val="28"/>
                <w:szCs w:val="28"/>
                <w:highlight w:val="none"/>
              </w:rPr>
              <w:t>4</w:t>
            </w:r>
          </w:p>
        </w:tc>
        <w:tc>
          <w:tcPr>
            <w:tcW w:w="2947" w:type="dxa"/>
            <w:noWrap w:val="0"/>
            <w:vAlign w:val="center"/>
          </w:tcPr>
          <w:p w14:paraId="6932FFFE">
            <w:pPr>
              <w:pStyle w:val="202"/>
              <w:pageBreakBefore w:val="0"/>
              <w:kinsoku/>
              <w:overflowPunct/>
              <w:topLinePunct w:val="0"/>
              <w:bidi w:val="0"/>
              <w:snapToGrid/>
              <w:spacing w:line="560" w:lineRule="exact"/>
              <w:ind w:right="48" w:rightChars="23"/>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5000 万元以上</w:t>
            </w:r>
          </w:p>
        </w:tc>
        <w:tc>
          <w:tcPr>
            <w:tcW w:w="6090" w:type="dxa"/>
            <w:noWrap w:val="0"/>
            <w:vAlign w:val="center"/>
          </w:tcPr>
          <w:p w14:paraId="1A4AFA56">
            <w:pPr>
              <w:pStyle w:val="202"/>
              <w:pageBreakBefore w:val="0"/>
              <w:kinsoku/>
              <w:overflowPunct/>
              <w:topLinePunct w:val="0"/>
              <w:bidi w:val="0"/>
              <w:snapToGrid/>
              <w:spacing w:line="560" w:lineRule="exact"/>
              <w:ind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从接到竣工结算报告和完整的竣工结算资料之日起 60 天</w:t>
            </w:r>
          </w:p>
        </w:tc>
      </w:tr>
    </w:tbl>
    <w:p w14:paraId="7D8AD63C">
      <w:pPr>
        <w:pStyle w:val="19"/>
        <w:keepNext w:val="0"/>
        <w:keepLines w:val="0"/>
        <w:pageBreakBefore w:val="0"/>
        <w:widowControl w:val="0"/>
        <w:tabs>
          <w:tab w:val="left" w:pos="4952"/>
        </w:tabs>
        <w:kinsoku/>
        <w:wordWrap/>
        <w:overflowPunct/>
        <w:topLinePunct w:val="0"/>
        <w:autoSpaceDE/>
        <w:autoSpaceDN/>
        <w:bidi w:val="0"/>
        <w:adjustRightInd/>
        <w:snapToGrid/>
        <w:spacing w:line="520" w:lineRule="exact"/>
        <w:ind w:left="279" w:leftChars="133" w:right="48" w:rightChars="23" w:firstLine="0" w:firstLineChars="0"/>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因</w:t>
      </w:r>
      <w:r>
        <w:rPr>
          <w:rFonts w:hint="eastAsia" w:ascii="宋体" w:hAnsi="宋体" w:eastAsia="宋体" w:cs="宋体"/>
          <w:color w:val="auto"/>
          <w:spacing w:val="-3"/>
          <w:sz w:val="28"/>
          <w:szCs w:val="28"/>
          <w:highlight w:val="none"/>
        </w:rPr>
        <w:t>承</w:t>
      </w:r>
      <w:r>
        <w:rPr>
          <w:rFonts w:hint="eastAsia" w:ascii="宋体" w:hAnsi="宋体" w:eastAsia="宋体" w:cs="宋体"/>
          <w:color w:val="auto"/>
          <w:spacing w:val="-1"/>
          <w:sz w:val="28"/>
          <w:szCs w:val="28"/>
          <w:highlight w:val="none"/>
        </w:rPr>
        <w:t>包</w:t>
      </w:r>
      <w:r>
        <w:rPr>
          <w:rFonts w:hint="eastAsia" w:ascii="宋体" w:hAnsi="宋体" w:eastAsia="宋体" w:cs="宋体"/>
          <w:color w:val="auto"/>
          <w:sz w:val="28"/>
          <w:szCs w:val="28"/>
          <w:highlight w:val="none"/>
        </w:rPr>
        <w:t>人</w:t>
      </w:r>
      <w:r>
        <w:rPr>
          <w:rFonts w:hint="eastAsia" w:ascii="宋体" w:hAnsi="宋体" w:eastAsia="宋体" w:cs="宋体"/>
          <w:color w:val="auto"/>
          <w:spacing w:val="-3"/>
          <w:sz w:val="28"/>
          <w:szCs w:val="28"/>
          <w:highlight w:val="none"/>
        </w:rPr>
        <w:t>提</w:t>
      </w:r>
      <w:r>
        <w:rPr>
          <w:rFonts w:hint="eastAsia" w:ascii="宋体" w:hAnsi="宋体" w:eastAsia="宋体" w:cs="宋体"/>
          <w:color w:val="auto"/>
          <w:sz w:val="28"/>
          <w:szCs w:val="28"/>
          <w:highlight w:val="none"/>
        </w:rPr>
        <w:t>供的</w:t>
      </w:r>
      <w:r>
        <w:rPr>
          <w:rFonts w:hint="eastAsia" w:ascii="宋体" w:hAnsi="宋体" w:eastAsia="宋体" w:cs="宋体"/>
          <w:color w:val="auto"/>
          <w:spacing w:val="-3"/>
          <w:sz w:val="28"/>
          <w:szCs w:val="28"/>
          <w:highlight w:val="none"/>
        </w:rPr>
        <w:t>结</w:t>
      </w:r>
      <w:r>
        <w:rPr>
          <w:rFonts w:hint="eastAsia" w:ascii="宋体" w:hAnsi="宋体" w:eastAsia="宋体" w:cs="宋体"/>
          <w:color w:val="auto"/>
          <w:sz w:val="28"/>
          <w:szCs w:val="28"/>
          <w:highlight w:val="none"/>
        </w:rPr>
        <w:t>算资</w:t>
      </w:r>
      <w:r>
        <w:rPr>
          <w:rFonts w:hint="eastAsia" w:ascii="宋体" w:hAnsi="宋体" w:eastAsia="宋体" w:cs="宋体"/>
          <w:color w:val="auto"/>
          <w:spacing w:val="-3"/>
          <w:sz w:val="28"/>
          <w:szCs w:val="28"/>
          <w:highlight w:val="none"/>
        </w:rPr>
        <w:t>料</w:t>
      </w:r>
      <w:r>
        <w:rPr>
          <w:rFonts w:hint="eastAsia" w:ascii="宋体" w:hAnsi="宋体" w:eastAsia="宋体" w:cs="宋体"/>
          <w:color w:val="auto"/>
          <w:sz w:val="28"/>
          <w:szCs w:val="28"/>
          <w:highlight w:val="none"/>
        </w:rPr>
        <w:t>不完</w:t>
      </w:r>
      <w:r>
        <w:rPr>
          <w:rFonts w:hint="eastAsia" w:ascii="宋体" w:hAnsi="宋体" w:eastAsia="宋体" w:cs="宋体"/>
          <w:color w:val="auto"/>
          <w:spacing w:val="-3"/>
          <w:sz w:val="28"/>
          <w:szCs w:val="28"/>
          <w:highlight w:val="none"/>
        </w:rPr>
        <w:t>整</w:t>
      </w:r>
      <w:r>
        <w:rPr>
          <w:rFonts w:hint="eastAsia" w:ascii="宋体" w:hAnsi="宋体" w:eastAsia="宋体" w:cs="宋体"/>
          <w:color w:val="auto"/>
          <w:sz w:val="28"/>
          <w:szCs w:val="28"/>
          <w:highlight w:val="none"/>
        </w:rPr>
        <w:t>而需</w:t>
      </w:r>
      <w:r>
        <w:rPr>
          <w:rFonts w:hint="eastAsia" w:ascii="宋体" w:hAnsi="宋体" w:eastAsia="宋体" w:cs="宋体"/>
          <w:color w:val="auto"/>
          <w:spacing w:val="-3"/>
          <w:sz w:val="28"/>
          <w:szCs w:val="28"/>
          <w:highlight w:val="none"/>
        </w:rPr>
        <w:t>要</w:t>
      </w:r>
      <w:r>
        <w:rPr>
          <w:rFonts w:hint="eastAsia" w:ascii="宋体" w:hAnsi="宋体" w:eastAsia="宋体" w:cs="宋体"/>
          <w:color w:val="auto"/>
          <w:sz w:val="28"/>
          <w:szCs w:val="28"/>
          <w:highlight w:val="none"/>
        </w:rPr>
        <w:t>补充</w:t>
      </w:r>
      <w:r>
        <w:rPr>
          <w:rFonts w:hint="eastAsia" w:ascii="宋体" w:hAnsi="宋体" w:eastAsia="宋体" w:cs="宋体"/>
          <w:color w:val="auto"/>
          <w:spacing w:val="-3"/>
          <w:sz w:val="28"/>
          <w:szCs w:val="28"/>
          <w:highlight w:val="none"/>
        </w:rPr>
        <w:t>或</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不按</w:t>
      </w:r>
      <w:r>
        <w:rPr>
          <w:rFonts w:hint="eastAsia" w:ascii="宋体" w:hAnsi="宋体" w:eastAsia="宋体" w:cs="宋体"/>
          <w:color w:val="auto"/>
          <w:spacing w:val="-3"/>
          <w:sz w:val="28"/>
          <w:szCs w:val="28"/>
          <w:highlight w:val="none"/>
        </w:rPr>
        <w:t>时</w:t>
      </w:r>
      <w:r>
        <w:rPr>
          <w:rFonts w:hint="eastAsia" w:ascii="宋体" w:hAnsi="宋体" w:eastAsia="宋体" w:cs="宋体"/>
          <w:color w:val="auto"/>
          <w:sz w:val="28"/>
          <w:szCs w:val="28"/>
          <w:highlight w:val="none"/>
        </w:rPr>
        <w:t>对账</w:t>
      </w:r>
      <w:r>
        <w:rPr>
          <w:rFonts w:hint="eastAsia" w:ascii="宋体" w:hAnsi="宋体" w:eastAsia="宋体" w:cs="宋体"/>
          <w:color w:val="auto"/>
          <w:spacing w:val="-3"/>
          <w:sz w:val="28"/>
          <w:szCs w:val="28"/>
          <w:highlight w:val="none"/>
        </w:rPr>
        <w:t>耽</w:t>
      </w:r>
      <w:r>
        <w:rPr>
          <w:rFonts w:hint="eastAsia" w:ascii="宋体" w:hAnsi="宋体" w:eastAsia="宋体" w:cs="宋体"/>
          <w:color w:val="auto"/>
          <w:sz w:val="28"/>
          <w:szCs w:val="28"/>
          <w:highlight w:val="none"/>
        </w:rPr>
        <w:t>误时</w:t>
      </w:r>
      <w:r>
        <w:rPr>
          <w:rFonts w:hint="eastAsia" w:ascii="宋体" w:hAnsi="宋体" w:eastAsia="宋体" w:cs="宋体"/>
          <w:color w:val="auto"/>
          <w:spacing w:val="-3"/>
          <w:sz w:val="28"/>
          <w:szCs w:val="28"/>
          <w:highlight w:val="none"/>
        </w:rPr>
        <w:t>间</w:t>
      </w:r>
      <w:r>
        <w:rPr>
          <w:rFonts w:hint="eastAsia" w:ascii="宋体" w:hAnsi="宋体" w:eastAsia="宋体" w:cs="宋体"/>
          <w:color w:val="auto"/>
          <w:sz w:val="28"/>
          <w:szCs w:val="28"/>
          <w:highlight w:val="none"/>
        </w:rPr>
        <w:t>时，</w:t>
      </w:r>
      <w:r>
        <w:rPr>
          <w:rFonts w:hint="eastAsia" w:ascii="宋体" w:hAnsi="宋体" w:eastAsia="宋体" w:cs="宋体"/>
          <w:color w:val="auto"/>
          <w:spacing w:val="-3"/>
          <w:sz w:val="28"/>
          <w:szCs w:val="28"/>
          <w:highlight w:val="none"/>
        </w:rPr>
        <w:t>审</w:t>
      </w:r>
      <w:r>
        <w:rPr>
          <w:rFonts w:hint="eastAsia" w:ascii="宋体" w:hAnsi="宋体" w:eastAsia="宋体" w:cs="宋体"/>
          <w:color w:val="auto"/>
          <w:sz w:val="28"/>
          <w:szCs w:val="28"/>
          <w:highlight w:val="none"/>
        </w:rPr>
        <w:t>查时</w:t>
      </w:r>
      <w:r>
        <w:rPr>
          <w:rFonts w:hint="eastAsia" w:ascii="宋体" w:hAnsi="宋体" w:eastAsia="宋体" w:cs="宋体"/>
          <w:color w:val="auto"/>
          <w:spacing w:val="-3"/>
          <w:sz w:val="28"/>
          <w:szCs w:val="28"/>
          <w:highlight w:val="none"/>
        </w:rPr>
        <w:t>间</w:t>
      </w:r>
      <w:r>
        <w:rPr>
          <w:rFonts w:hint="eastAsia" w:ascii="宋体" w:hAnsi="宋体" w:eastAsia="宋体" w:cs="宋体"/>
          <w:color w:val="auto"/>
          <w:sz w:val="28"/>
          <w:szCs w:val="28"/>
          <w:highlight w:val="none"/>
        </w:rPr>
        <w:t>应相</w:t>
      </w:r>
      <w:r>
        <w:rPr>
          <w:rFonts w:hint="eastAsia" w:ascii="宋体" w:hAnsi="宋体" w:eastAsia="宋体" w:cs="宋体"/>
          <w:color w:val="auto"/>
          <w:spacing w:val="-3"/>
          <w:sz w:val="28"/>
          <w:szCs w:val="28"/>
          <w:highlight w:val="none"/>
        </w:rPr>
        <w:t>应</w:t>
      </w:r>
      <w:r>
        <w:rPr>
          <w:rFonts w:hint="eastAsia" w:ascii="宋体" w:hAnsi="宋体" w:eastAsia="宋体" w:cs="宋体"/>
          <w:color w:val="auto"/>
          <w:sz w:val="28"/>
          <w:szCs w:val="28"/>
          <w:highlight w:val="none"/>
        </w:rPr>
        <w:t>顺延。发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人完</w:t>
      </w:r>
      <w:r>
        <w:rPr>
          <w:rFonts w:hint="eastAsia" w:ascii="宋体" w:hAnsi="宋体" w:eastAsia="宋体" w:cs="宋体"/>
          <w:color w:val="auto"/>
          <w:spacing w:val="-3"/>
          <w:sz w:val="28"/>
          <w:szCs w:val="28"/>
          <w:highlight w:val="none"/>
        </w:rPr>
        <w:t>成</w:t>
      </w: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款的</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限：</w:t>
      </w:r>
      <w:r>
        <w:rPr>
          <w:rFonts w:hint="eastAsia" w:ascii="宋体" w:hAnsi="宋体" w:eastAsia="宋体" w:cs="宋体"/>
          <w:color w:val="auto"/>
          <w:sz w:val="28"/>
          <w:szCs w:val="28"/>
          <w:highlight w:val="none"/>
          <w:u w:val="single"/>
          <w:lang w:val="en-US" w:eastAsia="zh-CN"/>
        </w:rPr>
        <w:t>/</w:t>
      </w:r>
    </w:p>
    <w:p w14:paraId="6BCF0E3E">
      <w:pPr>
        <w:pStyle w:val="19"/>
        <w:keepNext w:val="0"/>
        <w:keepLines w:val="0"/>
        <w:pageBreakBefore w:val="0"/>
        <w:widowControl w:val="0"/>
        <w:tabs>
          <w:tab w:val="left" w:pos="6824"/>
        </w:tabs>
        <w:kinsoku/>
        <w:wordWrap/>
        <w:overflowPunct/>
        <w:topLinePunct w:val="0"/>
        <w:autoSpaceDE/>
        <w:autoSpaceDN/>
        <w:bidi w:val="0"/>
        <w:adjustRightInd/>
        <w:snapToGrid/>
        <w:spacing w:before="2"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竣工</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款证</w:t>
      </w:r>
      <w:r>
        <w:rPr>
          <w:rFonts w:hint="eastAsia" w:ascii="宋体" w:hAnsi="宋体" w:eastAsia="宋体" w:cs="宋体"/>
          <w:color w:val="auto"/>
          <w:spacing w:val="-3"/>
          <w:sz w:val="28"/>
          <w:szCs w:val="28"/>
          <w:highlight w:val="none"/>
        </w:rPr>
        <w:t>书</w:t>
      </w:r>
      <w:r>
        <w:rPr>
          <w:rFonts w:hint="eastAsia" w:ascii="宋体" w:hAnsi="宋体" w:eastAsia="宋体" w:cs="宋体"/>
          <w:color w:val="auto"/>
          <w:sz w:val="28"/>
          <w:szCs w:val="28"/>
          <w:highlight w:val="none"/>
        </w:rPr>
        <w:t>异议</w:t>
      </w:r>
      <w:r>
        <w:rPr>
          <w:rFonts w:hint="eastAsia" w:ascii="宋体" w:hAnsi="宋体" w:eastAsia="宋体" w:cs="宋体"/>
          <w:color w:val="auto"/>
          <w:spacing w:val="-3"/>
          <w:sz w:val="28"/>
          <w:szCs w:val="28"/>
          <w:highlight w:val="none"/>
        </w:rPr>
        <w:t>部</w:t>
      </w:r>
      <w:r>
        <w:rPr>
          <w:rFonts w:hint="eastAsia" w:ascii="宋体" w:hAnsi="宋体" w:eastAsia="宋体" w:cs="宋体"/>
          <w:color w:val="auto"/>
          <w:sz w:val="28"/>
          <w:szCs w:val="28"/>
          <w:highlight w:val="none"/>
        </w:rPr>
        <w:t>分复</w:t>
      </w:r>
      <w:r>
        <w:rPr>
          <w:rFonts w:hint="eastAsia" w:ascii="宋体" w:hAnsi="宋体" w:eastAsia="宋体" w:cs="宋体"/>
          <w:color w:val="auto"/>
          <w:spacing w:val="-3"/>
          <w:sz w:val="28"/>
          <w:szCs w:val="28"/>
          <w:highlight w:val="none"/>
        </w:rPr>
        <w:t>核</w:t>
      </w:r>
      <w:r>
        <w:rPr>
          <w:rFonts w:hint="eastAsia" w:ascii="宋体" w:hAnsi="宋体" w:eastAsia="宋体" w:cs="宋体"/>
          <w:color w:val="auto"/>
          <w:sz w:val="28"/>
          <w:szCs w:val="28"/>
          <w:highlight w:val="none"/>
        </w:rPr>
        <w:t>的方</w:t>
      </w:r>
      <w:r>
        <w:rPr>
          <w:rFonts w:hint="eastAsia" w:ascii="宋体" w:hAnsi="宋体" w:eastAsia="宋体" w:cs="宋体"/>
          <w:color w:val="auto"/>
          <w:spacing w:val="-3"/>
          <w:sz w:val="28"/>
          <w:szCs w:val="28"/>
          <w:highlight w:val="none"/>
        </w:rPr>
        <w:t>式</w:t>
      </w:r>
      <w:r>
        <w:rPr>
          <w:rFonts w:hint="eastAsia" w:ascii="宋体" w:hAnsi="宋体" w:eastAsia="宋体" w:cs="宋体"/>
          <w:color w:val="auto"/>
          <w:sz w:val="28"/>
          <w:szCs w:val="28"/>
          <w:highlight w:val="none"/>
        </w:rPr>
        <w:t>和程</w:t>
      </w:r>
      <w:r>
        <w:rPr>
          <w:rFonts w:hint="eastAsia" w:ascii="宋体" w:hAnsi="宋体" w:eastAsia="宋体" w:cs="宋体"/>
          <w:color w:val="auto"/>
          <w:spacing w:val="-3"/>
          <w:sz w:val="28"/>
          <w:szCs w:val="28"/>
          <w:highlight w:val="none"/>
        </w:rPr>
        <w:t>序</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26180924">
      <w:pPr>
        <w:keepNext w:val="0"/>
        <w:keepLines w:val="0"/>
        <w:pageBreakBefore w:val="0"/>
        <w:widowControl w:val="0"/>
        <w:numPr>
          <w:ilvl w:val="1"/>
          <w:numId w:val="23"/>
        </w:numPr>
        <w:tabs>
          <w:tab w:val="left" w:pos="888"/>
        </w:tabs>
        <w:kinsoku/>
        <w:wordWrap/>
        <w:overflowPunct/>
        <w:topLinePunct w:val="0"/>
        <w:autoSpaceDE/>
        <w:autoSpaceDN/>
        <w:bidi w:val="0"/>
        <w:adjustRightInd/>
        <w:snapToGrid/>
        <w:spacing w:before="1" w:line="520" w:lineRule="exact"/>
        <w:ind w:left="887" w:right="48" w:rightChars="23" w:hanging="556"/>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最终结清</w:t>
      </w:r>
    </w:p>
    <w:p w14:paraId="7DA607C9">
      <w:pPr>
        <w:pStyle w:val="196"/>
        <w:keepNext w:val="0"/>
        <w:keepLines w:val="0"/>
        <w:pageBreakBefore w:val="0"/>
        <w:widowControl w:val="0"/>
        <w:numPr>
          <w:ilvl w:val="0"/>
          <w:numId w:val="0"/>
        </w:numPr>
        <w:tabs>
          <w:tab w:val="left" w:pos="1104"/>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14.4.1</w:t>
      </w:r>
      <w:r>
        <w:rPr>
          <w:rFonts w:hint="eastAsia" w:ascii="宋体" w:hAnsi="宋体" w:eastAsia="宋体" w:cs="宋体"/>
          <w:color w:val="auto"/>
          <w:spacing w:val="-3"/>
          <w:sz w:val="28"/>
          <w:szCs w:val="28"/>
          <w:highlight w:val="none"/>
        </w:rPr>
        <w:t>最终结清申请单</w:t>
      </w:r>
    </w:p>
    <w:p w14:paraId="5D35C45C">
      <w:pPr>
        <w:pStyle w:val="19"/>
        <w:keepNext w:val="0"/>
        <w:keepLines w:val="0"/>
        <w:pageBreakBefore w:val="0"/>
        <w:widowControl w:val="0"/>
        <w:tabs>
          <w:tab w:val="left" w:pos="5612"/>
        </w:tabs>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最终</w:t>
      </w:r>
      <w:r>
        <w:rPr>
          <w:rFonts w:hint="eastAsia" w:ascii="宋体" w:hAnsi="宋体" w:eastAsia="宋体" w:cs="宋体"/>
          <w:color w:val="auto"/>
          <w:spacing w:val="-3"/>
          <w:sz w:val="28"/>
          <w:szCs w:val="28"/>
          <w:highlight w:val="none"/>
        </w:rPr>
        <w:t>结</w:t>
      </w:r>
      <w:r>
        <w:rPr>
          <w:rFonts w:hint="eastAsia" w:ascii="宋体" w:hAnsi="宋体" w:eastAsia="宋体" w:cs="宋体"/>
          <w:color w:val="auto"/>
          <w:sz w:val="28"/>
          <w:szCs w:val="28"/>
          <w:highlight w:val="none"/>
        </w:rPr>
        <w:t>清申</w:t>
      </w:r>
      <w:r>
        <w:rPr>
          <w:rFonts w:hint="eastAsia" w:ascii="宋体" w:hAnsi="宋体" w:eastAsia="宋体" w:cs="宋体"/>
          <w:color w:val="auto"/>
          <w:spacing w:val="-3"/>
          <w:sz w:val="28"/>
          <w:szCs w:val="28"/>
          <w:highlight w:val="none"/>
        </w:rPr>
        <w:t>请</w:t>
      </w:r>
      <w:r>
        <w:rPr>
          <w:rFonts w:hint="eastAsia" w:ascii="宋体" w:hAnsi="宋体" w:eastAsia="宋体" w:cs="宋体"/>
          <w:color w:val="auto"/>
          <w:sz w:val="28"/>
          <w:szCs w:val="28"/>
          <w:highlight w:val="none"/>
        </w:rPr>
        <w:t>单的</w:t>
      </w:r>
      <w:r>
        <w:rPr>
          <w:rFonts w:hint="eastAsia" w:ascii="宋体" w:hAnsi="宋体" w:eastAsia="宋体" w:cs="宋体"/>
          <w:color w:val="auto"/>
          <w:spacing w:val="-3"/>
          <w:sz w:val="28"/>
          <w:szCs w:val="28"/>
          <w:highlight w:val="none"/>
        </w:rPr>
        <w:t>份</w:t>
      </w:r>
      <w:r>
        <w:rPr>
          <w:rFonts w:hint="eastAsia" w:ascii="宋体" w:hAnsi="宋体" w:eastAsia="宋体" w:cs="宋体"/>
          <w:color w:val="auto"/>
          <w:sz w:val="28"/>
          <w:szCs w:val="28"/>
          <w:highlight w:val="none"/>
        </w:rPr>
        <w:t>数：</w:t>
      </w:r>
      <w:r>
        <w:rPr>
          <w:rFonts w:hint="eastAsia" w:ascii="宋体" w:hAnsi="宋体" w:eastAsia="宋体" w:cs="宋体"/>
          <w:color w:val="auto"/>
          <w:sz w:val="28"/>
          <w:szCs w:val="28"/>
          <w:highlight w:val="none"/>
          <w:u w:val="single"/>
          <w:lang w:val="en-US" w:eastAsia="zh-CN"/>
        </w:rPr>
        <w:t>/</w:t>
      </w:r>
    </w:p>
    <w:p w14:paraId="35D0D7A3">
      <w:pPr>
        <w:pStyle w:val="19"/>
        <w:keepNext w:val="0"/>
        <w:keepLines w:val="0"/>
        <w:pageBreakBefore w:val="0"/>
        <w:widowControl w:val="0"/>
        <w:tabs>
          <w:tab w:val="left" w:pos="6054"/>
        </w:tabs>
        <w:kinsoku/>
        <w:wordWrap/>
        <w:overflowPunct/>
        <w:topLinePunct w:val="0"/>
        <w:autoSpaceDE/>
        <w:autoSpaceDN/>
        <w:bidi w:val="0"/>
        <w:adjustRightInd/>
        <w:snapToGrid/>
        <w:spacing w:before="50"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人提</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最终</w:t>
      </w:r>
      <w:r>
        <w:rPr>
          <w:rFonts w:hint="eastAsia" w:ascii="宋体" w:hAnsi="宋体" w:eastAsia="宋体" w:cs="宋体"/>
          <w:color w:val="auto"/>
          <w:spacing w:val="-3"/>
          <w:sz w:val="28"/>
          <w:szCs w:val="28"/>
          <w:highlight w:val="none"/>
        </w:rPr>
        <w:t>结</w:t>
      </w:r>
      <w:r>
        <w:rPr>
          <w:rFonts w:hint="eastAsia" w:ascii="宋体" w:hAnsi="宋体" w:eastAsia="宋体" w:cs="宋体"/>
          <w:color w:val="auto"/>
          <w:sz w:val="28"/>
          <w:szCs w:val="28"/>
          <w:highlight w:val="none"/>
        </w:rPr>
        <w:t>算申</w:t>
      </w:r>
      <w:r>
        <w:rPr>
          <w:rFonts w:hint="eastAsia" w:ascii="宋体" w:hAnsi="宋体" w:eastAsia="宋体" w:cs="宋体"/>
          <w:color w:val="auto"/>
          <w:spacing w:val="-3"/>
          <w:sz w:val="28"/>
          <w:szCs w:val="28"/>
          <w:highlight w:val="none"/>
        </w:rPr>
        <w:t>请</w:t>
      </w:r>
      <w:r>
        <w:rPr>
          <w:rFonts w:hint="eastAsia" w:ascii="宋体" w:hAnsi="宋体" w:eastAsia="宋体" w:cs="宋体"/>
          <w:color w:val="auto"/>
          <w:sz w:val="28"/>
          <w:szCs w:val="28"/>
          <w:highlight w:val="none"/>
        </w:rPr>
        <w:t>单的</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限：</w:t>
      </w:r>
      <w:r>
        <w:rPr>
          <w:rFonts w:hint="eastAsia" w:ascii="宋体" w:hAnsi="宋体" w:eastAsia="宋体" w:cs="宋体"/>
          <w:color w:val="auto"/>
          <w:sz w:val="28"/>
          <w:szCs w:val="28"/>
          <w:highlight w:val="none"/>
          <w:u w:val="single"/>
          <w:lang w:val="en-US" w:eastAsia="zh-CN"/>
        </w:rPr>
        <w:t>/</w:t>
      </w:r>
    </w:p>
    <w:p w14:paraId="78B023D0">
      <w:pPr>
        <w:pStyle w:val="196"/>
        <w:keepNext w:val="0"/>
        <w:keepLines w:val="0"/>
        <w:pageBreakBefore w:val="0"/>
        <w:widowControl w:val="0"/>
        <w:numPr>
          <w:ilvl w:val="0"/>
          <w:numId w:val="0"/>
        </w:numPr>
        <w:tabs>
          <w:tab w:val="left" w:pos="1104"/>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14.4.2</w:t>
      </w:r>
      <w:r>
        <w:rPr>
          <w:rFonts w:hint="eastAsia" w:ascii="宋体" w:hAnsi="宋体" w:eastAsia="宋体" w:cs="宋体"/>
          <w:color w:val="auto"/>
          <w:spacing w:val="-3"/>
          <w:sz w:val="28"/>
          <w:szCs w:val="28"/>
          <w:highlight w:val="none"/>
        </w:rPr>
        <w:t>最终结清证书和支付</w:t>
      </w:r>
    </w:p>
    <w:p w14:paraId="35E17C96">
      <w:pPr>
        <w:pStyle w:val="196"/>
        <w:keepNext w:val="0"/>
        <w:keepLines w:val="0"/>
        <w:pageBreakBefore w:val="0"/>
        <w:widowControl w:val="0"/>
        <w:numPr>
          <w:ilvl w:val="0"/>
          <w:numId w:val="0"/>
        </w:numPr>
        <w:tabs>
          <w:tab w:val="left" w:pos="886"/>
          <w:tab w:val="left" w:pos="9133"/>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发</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完</w:t>
      </w:r>
      <w:r>
        <w:rPr>
          <w:rFonts w:hint="eastAsia" w:ascii="宋体" w:hAnsi="宋体" w:eastAsia="宋体" w:cs="宋体"/>
          <w:color w:val="auto"/>
          <w:sz w:val="28"/>
          <w:szCs w:val="28"/>
          <w:highlight w:val="none"/>
        </w:rPr>
        <w:t>成最</w:t>
      </w:r>
      <w:r>
        <w:rPr>
          <w:rFonts w:hint="eastAsia" w:ascii="宋体" w:hAnsi="宋体" w:eastAsia="宋体" w:cs="宋体"/>
          <w:color w:val="auto"/>
          <w:spacing w:val="-3"/>
          <w:sz w:val="28"/>
          <w:szCs w:val="28"/>
          <w:highlight w:val="none"/>
        </w:rPr>
        <w:t>终</w:t>
      </w:r>
      <w:r>
        <w:rPr>
          <w:rFonts w:hint="eastAsia" w:ascii="宋体" w:hAnsi="宋体" w:eastAsia="宋体" w:cs="宋体"/>
          <w:color w:val="auto"/>
          <w:sz w:val="28"/>
          <w:szCs w:val="28"/>
          <w:highlight w:val="none"/>
        </w:rPr>
        <w:t>结清</w:t>
      </w:r>
      <w:r>
        <w:rPr>
          <w:rFonts w:hint="eastAsia" w:ascii="宋体" w:hAnsi="宋体" w:eastAsia="宋体" w:cs="宋体"/>
          <w:color w:val="auto"/>
          <w:spacing w:val="-3"/>
          <w:sz w:val="28"/>
          <w:szCs w:val="28"/>
          <w:highlight w:val="none"/>
        </w:rPr>
        <w:t>申</w:t>
      </w:r>
      <w:r>
        <w:rPr>
          <w:rFonts w:hint="eastAsia" w:ascii="宋体" w:hAnsi="宋体" w:eastAsia="宋体" w:cs="宋体"/>
          <w:color w:val="auto"/>
          <w:sz w:val="28"/>
          <w:szCs w:val="28"/>
          <w:highlight w:val="none"/>
        </w:rPr>
        <w:t>请单</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审批</w:t>
      </w:r>
      <w:r>
        <w:rPr>
          <w:rFonts w:hint="eastAsia" w:ascii="宋体" w:hAnsi="宋体" w:eastAsia="宋体" w:cs="宋体"/>
          <w:color w:val="auto"/>
          <w:spacing w:val="-3"/>
          <w:sz w:val="28"/>
          <w:szCs w:val="28"/>
          <w:highlight w:val="none"/>
        </w:rPr>
        <w:t>并</w:t>
      </w:r>
      <w:r>
        <w:rPr>
          <w:rFonts w:hint="eastAsia" w:ascii="宋体" w:hAnsi="宋体" w:eastAsia="宋体" w:cs="宋体"/>
          <w:color w:val="auto"/>
          <w:sz w:val="28"/>
          <w:szCs w:val="28"/>
          <w:highlight w:val="none"/>
        </w:rPr>
        <w:t>颁发</w:t>
      </w:r>
      <w:r>
        <w:rPr>
          <w:rFonts w:hint="eastAsia" w:ascii="宋体" w:hAnsi="宋体" w:eastAsia="宋体" w:cs="宋体"/>
          <w:color w:val="auto"/>
          <w:spacing w:val="-3"/>
          <w:sz w:val="28"/>
          <w:szCs w:val="28"/>
          <w:highlight w:val="none"/>
        </w:rPr>
        <w:t>最</w:t>
      </w:r>
      <w:r>
        <w:rPr>
          <w:rFonts w:hint="eastAsia" w:ascii="宋体" w:hAnsi="宋体" w:eastAsia="宋体" w:cs="宋体"/>
          <w:color w:val="auto"/>
          <w:sz w:val="28"/>
          <w:szCs w:val="28"/>
          <w:highlight w:val="none"/>
        </w:rPr>
        <w:t>终结</w:t>
      </w:r>
      <w:r>
        <w:rPr>
          <w:rFonts w:hint="eastAsia" w:ascii="宋体" w:hAnsi="宋体" w:eastAsia="宋体" w:cs="宋体"/>
          <w:color w:val="auto"/>
          <w:spacing w:val="-3"/>
          <w:sz w:val="28"/>
          <w:szCs w:val="28"/>
          <w:highlight w:val="none"/>
        </w:rPr>
        <w:t>清</w:t>
      </w:r>
      <w:r>
        <w:rPr>
          <w:rFonts w:hint="eastAsia" w:ascii="宋体" w:hAnsi="宋体" w:eastAsia="宋体" w:cs="宋体"/>
          <w:color w:val="auto"/>
          <w:sz w:val="28"/>
          <w:szCs w:val="28"/>
          <w:highlight w:val="none"/>
        </w:rPr>
        <w:t>证书</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期限</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u w:val="single"/>
          <w:lang w:val="en-US" w:eastAsia="zh-CN"/>
        </w:rPr>
        <w:t>/</w:t>
      </w:r>
    </w:p>
    <w:p w14:paraId="31CDFD0E">
      <w:pPr>
        <w:pStyle w:val="196"/>
        <w:keepNext w:val="0"/>
        <w:keepLines w:val="0"/>
        <w:pageBreakBefore w:val="0"/>
        <w:widowControl w:val="0"/>
        <w:numPr>
          <w:ilvl w:val="0"/>
          <w:numId w:val="0"/>
        </w:numPr>
        <w:tabs>
          <w:tab w:val="left" w:pos="886"/>
          <w:tab w:val="left" w:pos="4623"/>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发</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完</w:t>
      </w:r>
      <w:r>
        <w:rPr>
          <w:rFonts w:hint="eastAsia" w:ascii="宋体" w:hAnsi="宋体" w:eastAsia="宋体" w:cs="宋体"/>
          <w:color w:val="auto"/>
          <w:sz w:val="28"/>
          <w:szCs w:val="28"/>
          <w:highlight w:val="none"/>
        </w:rPr>
        <w:t>成支</w:t>
      </w:r>
      <w:r>
        <w:rPr>
          <w:rFonts w:hint="eastAsia" w:ascii="宋体" w:hAnsi="宋体" w:eastAsia="宋体" w:cs="宋体"/>
          <w:color w:val="auto"/>
          <w:spacing w:val="-3"/>
          <w:sz w:val="28"/>
          <w:szCs w:val="28"/>
          <w:highlight w:val="none"/>
        </w:rPr>
        <w:t>付</w:t>
      </w:r>
      <w:r>
        <w:rPr>
          <w:rFonts w:hint="eastAsia" w:ascii="宋体" w:hAnsi="宋体" w:eastAsia="宋体" w:cs="宋体"/>
          <w:color w:val="auto"/>
          <w:sz w:val="28"/>
          <w:szCs w:val="28"/>
          <w:highlight w:val="none"/>
        </w:rPr>
        <w:t>的期</w:t>
      </w:r>
      <w:r>
        <w:rPr>
          <w:rFonts w:hint="eastAsia" w:ascii="宋体" w:hAnsi="宋体" w:eastAsia="宋体" w:cs="宋体"/>
          <w:color w:val="auto"/>
          <w:spacing w:val="-3"/>
          <w:sz w:val="28"/>
          <w:szCs w:val="28"/>
          <w:highlight w:val="none"/>
        </w:rPr>
        <w:t>限</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2345B1C5">
      <w:pPr>
        <w:keepNext w:val="0"/>
        <w:keepLines w:val="0"/>
        <w:pageBreakBefore w:val="0"/>
        <w:widowControl w:val="0"/>
        <w:numPr>
          <w:ilvl w:val="0"/>
          <w:numId w:val="21"/>
        </w:numPr>
        <w:tabs>
          <w:tab w:val="left" w:pos="777"/>
        </w:tabs>
        <w:kinsoku/>
        <w:wordWrap/>
        <w:overflowPunct/>
        <w:topLinePunct w:val="0"/>
        <w:autoSpaceDE/>
        <w:autoSpaceDN/>
        <w:bidi w:val="0"/>
        <w:adjustRightInd/>
        <w:snapToGrid/>
        <w:spacing w:before="191" w:line="520" w:lineRule="exact"/>
        <w:ind w:left="776" w:right="48" w:rightChars="23" w:hanging="445"/>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缺陷责任期与保修</w:t>
      </w:r>
    </w:p>
    <w:p w14:paraId="3B34E76A">
      <w:pPr>
        <w:keepNext w:val="0"/>
        <w:keepLines w:val="0"/>
        <w:pageBreakBefore w:val="0"/>
        <w:widowControl w:val="0"/>
        <w:numPr>
          <w:ilvl w:val="1"/>
          <w:numId w:val="24"/>
        </w:numPr>
        <w:tabs>
          <w:tab w:val="left" w:pos="888"/>
        </w:tabs>
        <w:kinsoku/>
        <w:wordWrap/>
        <w:overflowPunct/>
        <w:topLinePunct w:val="0"/>
        <w:autoSpaceDE/>
        <w:autoSpaceDN/>
        <w:bidi w:val="0"/>
        <w:adjustRightInd/>
        <w:snapToGrid/>
        <w:spacing w:before="0" w:line="520" w:lineRule="exact"/>
        <w:ind w:left="887" w:right="48" w:rightChars="23" w:hanging="556"/>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缺陷责任期</w:t>
      </w:r>
    </w:p>
    <w:p w14:paraId="7B41ACF4">
      <w:pPr>
        <w:pStyle w:val="19"/>
        <w:keepNext w:val="0"/>
        <w:keepLines w:val="0"/>
        <w:pageBreakBefore w:val="0"/>
        <w:widowControl w:val="0"/>
        <w:tabs>
          <w:tab w:val="left" w:pos="4623"/>
        </w:tabs>
        <w:kinsoku/>
        <w:wordWrap/>
        <w:overflowPunct/>
        <w:topLinePunct w:val="0"/>
        <w:autoSpaceDE/>
        <w:autoSpaceDN/>
        <w:bidi w:val="0"/>
        <w:adjustRightInd/>
        <w:snapToGrid/>
        <w:spacing w:before="1"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缺</w:t>
      </w:r>
      <w:r>
        <w:rPr>
          <w:rFonts w:hint="eastAsia" w:ascii="宋体" w:hAnsi="宋体" w:eastAsia="宋体" w:cs="宋体"/>
          <w:color w:val="auto"/>
          <w:spacing w:val="-3"/>
          <w:sz w:val="28"/>
          <w:szCs w:val="28"/>
          <w:highlight w:val="none"/>
        </w:rPr>
        <w:t>陷</w:t>
      </w:r>
      <w:r>
        <w:rPr>
          <w:rFonts w:hint="eastAsia" w:ascii="宋体" w:hAnsi="宋体" w:eastAsia="宋体" w:cs="宋体"/>
          <w:color w:val="auto"/>
          <w:sz w:val="28"/>
          <w:szCs w:val="28"/>
          <w:highlight w:val="none"/>
        </w:rPr>
        <w:t>责任</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的具</w:t>
      </w:r>
      <w:r>
        <w:rPr>
          <w:rFonts w:hint="eastAsia" w:ascii="宋体" w:hAnsi="宋体" w:eastAsia="宋体" w:cs="宋体"/>
          <w:color w:val="auto"/>
          <w:spacing w:val="-3"/>
          <w:sz w:val="28"/>
          <w:szCs w:val="28"/>
          <w:highlight w:val="none"/>
        </w:rPr>
        <w:t>体</w:t>
      </w:r>
      <w:r>
        <w:rPr>
          <w:rFonts w:hint="eastAsia" w:ascii="宋体" w:hAnsi="宋体" w:eastAsia="宋体" w:cs="宋体"/>
          <w:color w:val="auto"/>
          <w:sz w:val="28"/>
          <w:szCs w:val="28"/>
          <w:highlight w:val="none"/>
        </w:rPr>
        <w:t>期限：</w:t>
      </w:r>
      <w:r>
        <w:rPr>
          <w:rFonts w:hint="eastAsia" w:ascii="宋体" w:hAnsi="宋体" w:eastAsia="宋体" w:cs="宋体"/>
          <w:color w:val="auto"/>
          <w:sz w:val="28"/>
          <w:szCs w:val="28"/>
          <w:highlight w:val="none"/>
          <w:u w:val="single"/>
          <w:lang w:val="en-US" w:eastAsia="zh-CN"/>
        </w:rPr>
        <w:t>自竣工验收通过之日起1年。</w:t>
      </w:r>
    </w:p>
    <w:p w14:paraId="0A5198F7">
      <w:pPr>
        <w:keepNext w:val="0"/>
        <w:keepLines w:val="0"/>
        <w:pageBreakBefore w:val="0"/>
        <w:widowControl w:val="0"/>
        <w:numPr>
          <w:ilvl w:val="1"/>
          <w:numId w:val="24"/>
        </w:numPr>
        <w:tabs>
          <w:tab w:val="left" w:pos="888"/>
        </w:tabs>
        <w:kinsoku/>
        <w:wordWrap/>
        <w:overflowPunct/>
        <w:topLinePunct w:val="0"/>
        <w:autoSpaceDE/>
        <w:autoSpaceDN/>
        <w:bidi w:val="0"/>
        <w:adjustRightInd/>
        <w:snapToGrid/>
        <w:spacing w:before="190" w:line="520" w:lineRule="exact"/>
        <w:ind w:left="887" w:right="48" w:rightChars="23" w:hanging="556"/>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质量保证金</w:t>
      </w:r>
    </w:p>
    <w:p w14:paraId="25762E48">
      <w:pPr>
        <w:pStyle w:val="19"/>
        <w:keepNext w:val="0"/>
        <w:keepLines w:val="0"/>
        <w:pageBreakBefore w:val="0"/>
        <w:widowControl w:val="0"/>
        <w:tabs>
          <w:tab w:val="left" w:pos="5612"/>
        </w:tabs>
        <w:kinsoku/>
        <w:wordWrap/>
        <w:overflowPunct/>
        <w:topLinePunct w:val="0"/>
        <w:autoSpaceDE/>
        <w:autoSpaceDN/>
        <w:bidi w:val="0"/>
        <w:adjustRightInd/>
        <w:snapToGrid/>
        <w:spacing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是否</w:t>
      </w:r>
      <w:r>
        <w:rPr>
          <w:rFonts w:hint="eastAsia" w:ascii="宋体" w:hAnsi="宋体" w:eastAsia="宋体" w:cs="宋体"/>
          <w:color w:val="auto"/>
          <w:spacing w:val="-3"/>
          <w:sz w:val="28"/>
          <w:szCs w:val="28"/>
          <w:highlight w:val="none"/>
        </w:rPr>
        <w:t>扣</w:t>
      </w:r>
      <w:r>
        <w:rPr>
          <w:rFonts w:hint="eastAsia" w:ascii="宋体" w:hAnsi="宋体" w:eastAsia="宋体" w:cs="宋体"/>
          <w:color w:val="auto"/>
          <w:sz w:val="28"/>
          <w:szCs w:val="28"/>
          <w:highlight w:val="none"/>
        </w:rPr>
        <w:t>留质</w:t>
      </w:r>
      <w:r>
        <w:rPr>
          <w:rFonts w:hint="eastAsia" w:ascii="宋体" w:hAnsi="宋体" w:eastAsia="宋体" w:cs="宋体"/>
          <w:color w:val="auto"/>
          <w:spacing w:val="-3"/>
          <w:sz w:val="28"/>
          <w:szCs w:val="28"/>
          <w:highlight w:val="none"/>
        </w:rPr>
        <w:t>量</w:t>
      </w:r>
      <w:r>
        <w:rPr>
          <w:rFonts w:hint="eastAsia" w:ascii="宋体" w:hAnsi="宋体" w:eastAsia="宋体" w:cs="宋体"/>
          <w:color w:val="auto"/>
          <w:sz w:val="28"/>
          <w:szCs w:val="28"/>
          <w:highlight w:val="none"/>
        </w:rPr>
        <w:t>保证</w:t>
      </w:r>
      <w:r>
        <w:rPr>
          <w:rFonts w:hint="eastAsia" w:ascii="宋体" w:hAnsi="宋体" w:eastAsia="宋体" w:cs="宋体"/>
          <w:color w:val="auto"/>
          <w:spacing w:val="-3"/>
          <w:sz w:val="28"/>
          <w:szCs w:val="28"/>
          <w:highlight w:val="none"/>
        </w:rPr>
        <w:t>金</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p>
    <w:p w14:paraId="022A8FF7">
      <w:pPr>
        <w:pStyle w:val="196"/>
        <w:keepNext w:val="0"/>
        <w:keepLines w:val="0"/>
        <w:pageBreakBefore w:val="0"/>
        <w:widowControl w:val="0"/>
        <w:numPr>
          <w:ilvl w:val="0"/>
          <w:numId w:val="0"/>
        </w:numPr>
        <w:tabs>
          <w:tab w:val="left" w:pos="1104"/>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15.3.1</w:t>
      </w:r>
      <w:r>
        <w:rPr>
          <w:rFonts w:hint="eastAsia" w:ascii="宋体" w:hAnsi="宋体" w:eastAsia="宋体" w:cs="宋体"/>
          <w:color w:val="auto"/>
          <w:spacing w:val="-3"/>
          <w:sz w:val="28"/>
          <w:szCs w:val="28"/>
          <w:highlight w:val="none"/>
        </w:rPr>
        <w:t>承包人提供质量保证金的方式</w:t>
      </w:r>
    </w:p>
    <w:p w14:paraId="7C949A3B">
      <w:pPr>
        <w:pStyle w:val="19"/>
        <w:keepNext w:val="0"/>
        <w:keepLines w:val="0"/>
        <w:pageBreakBefore w:val="0"/>
        <w:widowControl w:val="0"/>
        <w:tabs>
          <w:tab w:val="left" w:pos="3631"/>
        </w:tabs>
        <w:kinsoku/>
        <w:wordWrap/>
        <w:overflowPunct/>
        <w:topLinePunct w:val="0"/>
        <w:autoSpaceDE/>
        <w:autoSpaceDN/>
        <w:bidi w:val="0"/>
        <w:adjustRightInd/>
        <w:snapToGrid/>
        <w:spacing w:before="1" w:line="52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质</w:t>
      </w:r>
      <w:r>
        <w:rPr>
          <w:rFonts w:hint="eastAsia" w:ascii="宋体" w:hAnsi="宋体" w:eastAsia="宋体" w:cs="宋体"/>
          <w:color w:val="auto"/>
          <w:spacing w:val="-3"/>
          <w:sz w:val="28"/>
          <w:szCs w:val="28"/>
          <w:highlight w:val="none"/>
        </w:rPr>
        <w:t>量</w:t>
      </w:r>
      <w:r>
        <w:rPr>
          <w:rFonts w:hint="eastAsia" w:ascii="宋体" w:hAnsi="宋体" w:eastAsia="宋体" w:cs="宋体"/>
          <w:color w:val="auto"/>
          <w:sz w:val="28"/>
          <w:szCs w:val="28"/>
          <w:highlight w:val="none"/>
        </w:rPr>
        <w:t>保证</w:t>
      </w:r>
      <w:r>
        <w:rPr>
          <w:rFonts w:hint="eastAsia" w:ascii="宋体" w:hAnsi="宋体" w:eastAsia="宋体" w:cs="宋体"/>
          <w:color w:val="auto"/>
          <w:spacing w:val="-3"/>
          <w:sz w:val="28"/>
          <w:szCs w:val="28"/>
          <w:highlight w:val="none"/>
        </w:rPr>
        <w:t>金</w:t>
      </w:r>
      <w:r>
        <w:rPr>
          <w:rFonts w:hint="eastAsia" w:ascii="宋体" w:hAnsi="宋体" w:eastAsia="宋体" w:cs="宋体"/>
          <w:color w:val="auto"/>
          <w:sz w:val="28"/>
          <w:szCs w:val="28"/>
          <w:highlight w:val="none"/>
        </w:rPr>
        <w:t>采用</w:t>
      </w:r>
      <w:r>
        <w:rPr>
          <w:rFonts w:hint="eastAsia" w:ascii="宋体" w:hAnsi="宋体" w:eastAsia="宋体" w:cs="宋体"/>
          <w:color w:val="auto"/>
          <w:spacing w:val="-3"/>
          <w:sz w:val="28"/>
          <w:szCs w:val="28"/>
          <w:highlight w:val="none"/>
        </w:rPr>
        <w:t>以</w:t>
      </w:r>
      <w:r>
        <w:rPr>
          <w:rFonts w:hint="eastAsia" w:ascii="宋体" w:hAnsi="宋体" w:eastAsia="宋体" w:cs="宋体"/>
          <w:color w:val="auto"/>
          <w:sz w:val="28"/>
          <w:szCs w:val="28"/>
          <w:highlight w:val="none"/>
        </w:rPr>
        <w:t>下第</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pacing w:val="2"/>
          <w:sz w:val="28"/>
          <w:szCs w:val="28"/>
          <w:highlight w:val="none"/>
          <w:u w:val="single"/>
        </w:rPr>
        <w:t xml:space="preserve"> </w:t>
      </w:r>
      <w:r>
        <w:rPr>
          <w:rFonts w:hint="eastAsia" w:ascii="宋体" w:hAnsi="宋体" w:eastAsia="宋体" w:cs="宋体"/>
          <w:color w:val="auto"/>
          <w:sz w:val="28"/>
          <w:szCs w:val="28"/>
          <w:highlight w:val="none"/>
          <w:u w:val="single"/>
        </w:rPr>
        <w:t>（2）</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种</w:t>
      </w:r>
      <w:r>
        <w:rPr>
          <w:rFonts w:hint="eastAsia" w:ascii="宋体" w:hAnsi="宋体" w:eastAsia="宋体" w:cs="宋体"/>
          <w:color w:val="auto"/>
          <w:spacing w:val="-3"/>
          <w:sz w:val="28"/>
          <w:szCs w:val="28"/>
          <w:highlight w:val="none"/>
        </w:rPr>
        <w:t>方</w:t>
      </w:r>
      <w:r>
        <w:rPr>
          <w:rFonts w:hint="eastAsia" w:ascii="宋体" w:hAnsi="宋体" w:eastAsia="宋体" w:cs="宋体"/>
          <w:color w:val="auto"/>
          <w:sz w:val="28"/>
          <w:szCs w:val="28"/>
          <w:highlight w:val="none"/>
        </w:rPr>
        <w:t>式：</w:t>
      </w:r>
    </w:p>
    <w:p w14:paraId="54DD4AB0">
      <w:pPr>
        <w:pStyle w:val="196"/>
        <w:keepNext w:val="0"/>
        <w:keepLines w:val="0"/>
        <w:pageBreakBefore w:val="0"/>
        <w:widowControl w:val="0"/>
        <w:numPr>
          <w:ilvl w:val="0"/>
          <w:numId w:val="0"/>
        </w:numPr>
        <w:tabs>
          <w:tab w:val="left" w:pos="886"/>
          <w:tab w:val="left" w:pos="6164"/>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质</w:t>
      </w:r>
      <w:r>
        <w:rPr>
          <w:rFonts w:hint="eastAsia" w:ascii="宋体" w:hAnsi="宋体" w:eastAsia="宋体" w:cs="宋体"/>
          <w:color w:val="auto"/>
          <w:sz w:val="28"/>
          <w:szCs w:val="28"/>
          <w:highlight w:val="none"/>
        </w:rPr>
        <w:t>量保</w:t>
      </w:r>
      <w:r>
        <w:rPr>
          <w:rFonts w:hint="eastAsia" w:ascii="宋体" w:hAnsi="宋体" w:eastAsia="宋体" w:cs="宋体"/>
          <w:color w:val="auto"/>
          <w:spacing w:val="-3"/>
          <w:sz w:val="28"/>
          <w:szCs w:val="28"/>
          <w:highlight w:val="none"/>
        </w:rPr>
        <w:t>证</w:t>
      </w:r>
      <w:r>
        <w:rPr>
          <w:rFonts w:hint="eastAsia" w:ascii="宋体" w:hAnsi="宋体" w:eastAsia="宋体" w:cs="宋体"/>
          <w:color w:val="auto"/>
          <w:sz w:val="28"/>
          <w:szCs w:val="28"/>
          <w:highlight w:val="none"/>
        </w:rPr>
        <w:t>金保</w:t>
      </w:r>
      <w:r>
        <w:rPr>
          <w:rFonts w:hint="eastAsia" w:ascii="宋体" w:hAnsi="宋体" w:eastAsia="宋体" w:cs="宋体"/>
          <w:color w:val="auto"/>
          <w:spacing w:val="-3"/>
          <w:sz w:val="28"/>
          <w:szCs w:val="28"/>
          <w:highlight w:val="none"/>
        </w:rPr>
        <w:t>函</w:t>
      </w:r>
      <w:r>
        <w:rPr>
          <w:rFonts w:hint="eastAsia" w:ascii="宋体" w:hAnsi="宋体" w:eastAsia="宋体" w:cs="宋体"/>
          <w:color w:val="auto"/>
          <w:sz w:val="28"/>
          <w:szCs w:val="28"/>
          <w:highlight w:val="none"/>
        </w:rPr>
        <w:t>，保</w:t>
      </w:r>
      <w:r>
        <w:rPr>
          <w:rFonts w:hint="eastAsia" w:ascii="宋体" w:hAnsi="宋体" w:eastAsia="宋体" w:cs="宋体"/>
          <w:color w:val="auto"/>
          <w:spacing w:val="-3"/>
          <w:sz w:val="28"/>
          <w:szCs w:val="28"/>
          <w:highlight w:val="none"/>
        </w:rPr>
        <w:t>证</w:t>
      </w:r>
      <w:r>
        <w:rPr>
          <w:rFonts w:hint="eastAsia" w:ascii="宋体" w:hAnsi="宋体" w:eastAsia="宋体" w:cs="宋体"/>
          <w:color w:val="auto"/>
          <w:sz w:val="28"/>
          <w:szCs w:val="28"/>
          <w:highlight w:val="none"/>
        </w:rPr>
        <w:t>金额</w:t>
      </w:r>
      <w:r>
        <w:rPr>
          <w:rFonts w:hint="eastAsia" w:ascii="宋体" w:hAnsi="宋体" w:eastAsia="宋体" w:cs="宋体"/>
          <w:color w:val="auto"/>
          <w:spacing w:val="-3"/>
          <w:sz w:val="28"/>
          <w:szCs w:val="28"/>
          <w:highlight w:val="none"/>
        </w:rPr>
        <w:t>为</w:t>
      </w:r>
      <w:r>
        <w:rPr>
          <w:rFonts w:hint="eastAsia" w:ascii="宋体" w:hAnsi="宋体" w:eastAsia="宋体" w:cs="宋体"/>
          <w:color w:val="auto"/>
          <w:sz w:val="28"/>
          <w:szCs w:val="28"/>
          <w:highlight w:val="none"/>
        </w:rPr>
        <w:t>：</w:t>
      </w:r>
    </w:p>
    <w:p w14:paraId="5FFC6A37">
      <w:pPr>
        <w:pStyle w:val="196"/>
        <w:keepNext w:val="0"/>
        <w:keepLines w:val="0"/>
        <w:pageBreakBefore w:val="0"/>
        <w:widowControl w:val="0"/>
        <w:numPr>
          <w:ilvl w:val="0"/>
          <w:numId w:val="0"/>
        </w:numPr>
        <w:tabs>
          <w:tab w:val="left" w:pos="886"/>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发包人按工程价款结算总额的</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z w:val="28"/>
          <w:szCs w:val="28"/>
          <w:highlight w:val="none"/>
          <w:u w:val="single"/>
        </w:rPr>
        <w:t>3</w:t>
      </w:r>
      <w:r>
        <w:rPr>
          <w:rFonts w:hint="eastAsia" w:ascii="宋体" w:hAnsi="宋体" w:eastAsia="宋体" w:cs="宋体"/>
          <w:color w:val="auto"/>
          <w:spacing w:val="-3"/>
          <w:sz w:val="28"/>
          <w:szCs w:val="28"/>
          <w:highlight w:val="none"/>
        </w:rPr>
        <w:t xml:space="preserve"> %预留工程质量保修金，待缺陷责任期满后返还；</w:t>
      </w:r>
    </w:p>
    <w:p w14:paraId="21C86759">
      <w:pPr>
        <w:pStyle w:val="196"/>
        <w:keepNext w:val="0"/>
        <w:keepLines w:val="0"/>
        <w:pageBreakBefore w:val="0"/>
        <w:widowControl w:val="0"/>
        <w:numPr>
          <w:ilvl w:val="0"/>
          <w:numId w:val="0"/>
        </w:numPr>
        <w:tabs>
          <w:tab w:val="left" w:pos="886"/>
          <w:tab w:val="left" w:pos="4184"/>
        </w:tabs>
        <w:kinsoku/>
        <w:wordWrap/>
        <w:overflowPunct/>
        <w:topLinePunct w:val="0"/>
        <w:autoSpaceDE/>
        <w:autoSpaceDN/>
        <w:bidi w:val="0"/>
        <w:adjustRightInd/>
        <w:snapToGrid/>
        <w:spacing w:before="0" w:after="0" w:line="52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他方</w:t>
      </w:r>
      <w:r>
        <w:rPr>
          <w:rFonts w:hint="eastAsia" w:ascii="宋体" w:hAnsi="宋体" w:eastAsia="宋体" w:cs="宋体"/>
          <w:color w:val="auto"/>
          <w:spacing w:val="-3"/>
          <w:sz w:val="28"/>
          <w:szCs w:val="28"/>
          <w:highlight w:val="none"/>
        </w:rPr>
        <w:t>式</w:t>
      </w:r>
      <w:r>
        <w:rPr>
          <w:rFonts w:hint="eastAsia" w:ascii="宋体" w:hAnsi="宋体" w:eastAsia="宋体" w:cs="宋体"/>
          <w:color w:val="auto"/>
          <w:sz w:val="28"/>
          <w:szCs w:val="28"/>
          <w:highlight w:val="none"/>
        </w:rPr>
        <w:t>：</w:t>
      </w:r>
    </w:p>
    <w:p w14:paraId="60AC519E">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15.3.2</w:t>
      </w:r>
      <w:r>
        <w:rPr>
          <w:rFonts w:hint="eastAsia" w:ascii="宋体" w:hAnsi="宋体" w:eastAsia="宋体" w:cs="宋体"/>
          <w:color w:val="auto"/>
          <w:spacing w:val="-3"/>
          <w:sz w:val="28"/>
          <w:szCs w:val="28"/>
          <w:highlight w:val="none"/>
        </w:rPr>
        <w:t>质量保证金的扣留</w:t>
      </w:r>
    </w:p>
    <w:p w14:paraId="7D403002">
      <w:pPr>
        <w:pStyle w:val="19"/>
        <w:pageBreakBefore w:val="0"/>
        <w:tabs>
          <w:tab w:val="left" w:pos="4291"/>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质</w:t>
      </w:r>
      <w:r>
        <w:rPr>
          <w:rFonts w:hint="eastAsia" w:ascii="宋体" w:hAnsi="宋体" w:eastAsia="宋体" w:cs="宋体"/>
          <w:color w:val="auto"/>
          <w:spacing w:val="-3"/>
          <w:sz w:val="28"/>
          <w:szCs w:val="28"/>
          <w:highlight w:val="none"/>
        </w:rPr>
        <w:t>量</w:t>
      </w:r>
      <w:r>
        <w:rPr>
          <w:rFonts w:hint="eastAsia" w:ascii="宋体" w:hAnsi="宋体" w:eastAsia="宋体" w:cs="宋体"/>
          <w:color w:val="auto"/>
          <w:sz w:val="28"/>
          <w:szCs w:val="28"/>
          <w:highlight w:val="none"/>
        </w:rPr>
        <w:t>保证</w:t>
      </w:r>
      <w:r>
        <w:rPr>
          <w:rFonts w:hint="eastAsia" w:ascii="宋体" w:hAnsi="宋体" w:eastAsia="宋体" w:cs="宋体"/>
          <w:color w:val="auto"/>
          <w:spacing w:val="-3"/>
          <w:sz w:val="28"/>
          <w:szCs w:val="28"/>
          <w:highlight w:val="none"/>
        </w:rPr>
        <w:t>金</w:t>
      </w:r>
      <w:r>
        <w:rPr>
          <w:rFonts w:hint="eastAsia" w:ascii="宋体" w:hAnsi="宋体" w:eastAsia="宋体" w:cs="宋体"/>
          <w:color w:val="auto"/>
          <w:sz w:val="28"/>
          <w:szCs w:val="28"/>
          <w:highlight w:val="none"/>
        </w:rPr>
        <w:t>的扣</w:t>
      </w:r>
      <w:r>
        <w:rPr>
          <w:rFonts w:hint="eastAsia" w:ascii="宋体" w:hAnsi="宋体" w:eastAsia="宋体" w:cs="宋体"/>
          <w:color w:val="auto"/>
          <w:spacing w:val="-3"/>
          <w:sz w:val="28"/>
          <w:szCs w:val="28"/>
          <w:highlight w:val="none"/>
        </w:rPr>
        <w:t>留</w:t>
      </w:r>
      <w:r>
        <w:rPr>
          <w:rFonts w:hint="eastAsia" w:ascii="宋体" w:hAnsi="宋体" w:eastAsia="宋体" w:cs="宋体"/>
          <w:color w:val="auto"/>
          <w:sz w:val="28"/>
          <w:szCs w:val="28"/>
          <w:highlight w:val="none"/>
        </w:rPr>
        <w:t>采取</w:t>
      </w:r>
      <w:r>
        <w:rPr>
          <w:rFonts w:hint="eastAsia" w:ascii="宋体" w:hAnsi="宋体" w:eastAsia="宋体" w:cs="宋体"/>
          <w:color w:val="auto"/>
          <w:spacing w:val="-3"/>
          <w:sz w:val="28"/>
          <w:szCs w:val="28"/>
          <w:highlight w:val="none"/>
        </w:rPr>
        <w:t>以</w:t>
      </w:r>
      <w:r>
        <w:rPr>
          <w:rFonts w:hint="eastAsia" w:ascii="宋体" w:hAnsi="宋体" w:eastAsia="宋体" w:cs="宋体"/>
          <w:color w:val="auto"/>
          <w:sz w:val="28"/>
          <w:szCs w:val="28"/>
          <w:highlight w:val="none"/>
        </w:rPr>
        <w:t>下第</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pacing w:val="2"/>
          <w:sz w:val="28"/>
          <w:szCs w:val="28"/>
          <w:highlight w:val="none"/>
          <w:u w:val="single"/>
        </w:rPr>
        <w:t xml:space="preserve"> </w:t>
      </w:r>
      <w:r>
        <w:rPr>
          <w:rFonts w:hint="eastAsia" w:ascii="宋体" w:hAnsi="宋体" w:eastAsia="宋体" w:cs="宋体"/>
          <w:color w:val="auto"/>
          <w:sz w:val="28"/>
          <w:szCs w:val="28"/>
          <w:highlight w:val="none"/>
          <w:u w:val="single"/>
        </w:rPr>
        <w:t>（2）</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种</w:t>
      </w:r>
      <w:r>
        <w:rPr>
          <w:rFonts w:hint="eastAsia" w:ascii="宋体" w:hAnsi="宋体" w:eastAsia="宋体" w:cs="宋体"/>
          <w:color w:val="auto"/>
          <w:spacing w:val="-3"/>
          <w:sz w:val="28"/>
          <w:szCs w:val="28"/>
          <w:highlight w:val="none"/>
        </w:rPr>
        <w:t>方</w:t>
      </w:r>
      <w:r>
        <w:rPr>
          <w:rFonts w:hint="eastAsia" w:ascii="宋体" w:hAnsi="宋体" w:eastAsia="宋体" w:cs="宋体"/>
          <w:color w:val="auto"/>
          <w:sz w:val="28"/>
          <w:szCs w:val="28"/>
          <w:highlight w:val="none"/>
        </w:rPr>
        <w:t>式：</w:t>
      </w:r>
    </w:p>
    <w:p w14:paraId="136DA4A7">
      <w:pPr>
        <w:pStyle w:val="196"/>
        <w:pageBreakBefore w:val="0"/>
        <w:numPr>
          <w:ilvl w:val="0"/>
          <w:numId w:val="0"/>
        </w:numPr>
        <w:tabs>
          <w:tab w:val="left" w:pos="886"/>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在支付工程进度款时逐次扣留，在此情形下，质量保证金的计算基数不包括预付款的支付、扣回以及价格调整的金额；</w:t>
      </w:r>
    </w:p>
    <w:p w14:paraId="0ED81BB4">
      <w:pPr>
        <w:pStyle w:val="196"/>
        <w:pageBreakBefore w:val="0"/>
        <w:numPr>
          <w:ilvl w:val="0"/>
          <w:numId w:val="0"/>
        </w:numPr>
        <w:tabs>
          <w:tab w:val="left" w:pos="886"/>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工程竣工结算时一次性扣留质量保证金；</w:t>
      </w:r>
    </w:p>
    <w:p w14:paraId="1CC5AE76">
      <w:pPr>
        <w:pStyle w:val="196"/>
        <w:pageBreakBefore w:val="0"/>
        <w:numPr>
          <w:ilvl w:val="0"/>
          <w:numId w:val="0"/>
        </w:numPr>
        <w:tabs>
          <w:tab w:val="left" w:pos="886"/>
          <w:tab w:val="left" w:pos="407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他扣</w:t>
      </w:r>
      <w:r>
        <w:rPr>
          <w:rFonts w:hint="eastAsia" w:ascii="宋体" w:hAnsi="宋体" w:eastAsia="宋体" w:cs="宋体"/>
          <w:color w:val="auto"/>
          <w:spacing w:val="-3"/>
          <w:sz w:val="28"/>
          <w:szCs w:val="28"/>
          <w:highlight w:val="none"/>
        </w:rPr>
        <w:t>留</w:t>
      </w:r>
      <w:r>
        <w:rPr>
          <w:rFonts w:hint="eastAsia" w:ascii="宋体" w:hAnsi="宋体" w:eastAsia="宋体" w:cs="宋体"/>
          <w:color w:val="auto"/>
          <w:sz w:val="28"/>
          <w:szCs w:val="28"/>
          <w:highlight w:val="none"/>
        </w:rPr>
        <w:t>方式</w:t>
      </w:r>
      <w:r>
        <w:rPr>
          <w:rFonts w:hint="eastAsia" w:ascii="宋体" w:hAnsi="宋体" w:eastAsia="宋体" w:cs="宋体"/>
          <w:color w:val="auto"/>
          <w:spacing w:val="-4"/>
          <w:sz w:val="28"/>
          <w:szCs w:val="28"/>
          <w:highlight w:val="none"/>
        </w:rPr>
        <w:t>:</w:t>
      </w:r>
    </w:p>
    <w:p w14:paraId="6D1A63F5">
      <w:pPr>
        <w:pStyle w:val="19"/>
        <w:pageBreakBefore w:val="0"/>
        <w:tabs>
          <w:tab w:val="left" w:pos="4952"/>
        </w:tabs>
        <w:kinsoku/>
        <w:overflowPunct/>
        <w:topLinePunct w:val="0"/>
        <w:bidi w:val="0"/>
        <w:snapToGrid/>
        <w:spacing w:line="560" w:lineRule="exact"/>
        <w:ind w:left="332" w:right="48" w:rightChars="23"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质量</w:t>
      </w:r>
      <w:r>
        <w:rPr>
          <w:rFonts w:hint="eastAsia" w:ascii="宋体" w:hAnsi="宋体" w:eastAsia="宋体" w:cs="宋体"/>
          <w:color w:val="auto"/>
          <w:spacing w:val="-3"/>
          <w:sz w:val="28"/>
          <w:szCs w:val="28"/>
          <w:highlight w:val="none"/>
        </w:rPr>
        <w:t>保</w:t>
      </w:r>
      <w:r>
        <w:rPr>
          <w:rFonts w:hint="eastAsia" w:ascii="宋体" w:hAnsi="宋体" w:eastAsia="宋体" w:cs="宋体"/>
          <w:color w:val="auto"/>
          <w:sz w:val="28"/>
          <w:szCs w:val="28"/>
          <w:highlight w:val="none"/>
        </w:rPr>
        <w:t>证金</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补充</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r>
        <w:rPr>
          <w:rFonts w:hint="eastAsia" w:ascii="宋体" w:hAnsi="宋体" w:eastAsia="宋体" w:cs="宋体"/>
          <w:color w:val="auto"/>
          <w:sz w:val="28"/>
          <w:szCs w:val="28"/>
          <w:highlight w:val="none"/>
          <w:u w:val="single"/>
          <w:lang w:val="en-US" w:eastAsia="zh-CN"/>
        </w:rPr>
        <w:t>/</w:t>
      </w:r>
    </w:p>
    <w:p w14:paraId="205A37F8">
      <w:pPr>
        <w:pageBreakBefore w:val="0"/>
        <w:numPr>
          <w:ilvl w:val="1"/>
          <w:numId w:val="24"/>
        </w:numPr>
        <w:tabs>
          <w:tab w:val="left" w:pos="888"/>
        </w:tabs>
        <w:kinsoku/>
        <w:overflowPunct/>
        <w:topLinePunct w:val="0"/>
        <w:bidi w:val="0"/>
        <w:snapToGrid/>
        <w:spacing w:before="19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保修</w:t>
      </w:r>
    </w:p>
    <w:p w14:paraId="38A44F99">
      <w:pPr>
        <w:pStyle w:val="196"/>
        <w:pageBreakBefore w:val="0"/>
        <w:numPr>
          <w:ilvl w:val="0"/>
          <w:numId w:val="0"/>
        </w:numPr>
        <w:tabs>
          <w:tab w:val="left" w:pos="1104"/>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lang w:val="en-US" w:eastAsia="zh-CN"/>
        </w:rPr>
        <w:t>15.4.1</w:t>
      </w:r>
      <w:r>
        <w:rPr>
          <w:rFonts w:hint="eastAsia" w:ascii="宋体" w:hAnsi="宋体" w:eastAsia="宋体" w:cs="宋体"/>
          <w:color w:val="auto"/>
          <w:spacing w:val="-2"/>
          <w:sz w:val="28"/>
          <w:szCs w:val="28"/>
          <w:highlight w:val="none"/>
        </w:rPr>
        <w:t>保修责任</w:t>
      </w:r>
    </w:p>
    <w:p w14:paraId="7B835EEC">
      <w:pPr>
        <w:pStyle w:val="19"/>
        <w:pageBreakBefore w:val="0"/>
        <w:tabs>
          <w:tab w:val="left" w:pos="2423"/>
          <w:tab w:val="left" w:pos="6658"/>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保修</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1</w:t>
      </w:r>
      <w:r>
        <w:rPr>
          <w:rFonts w:hint="eastAsia" w:ascii="宋体" w:hAnsi="宋体" w:eastAsia="宋体" w:cs="宋体"/>
          <w:color w:val="auto"/>
          <w:spacing w:val="-55"/>
          <w:sz w:val="28"/>
          <w:szCs w:val="28"/>
          <w:highlight w:val="none"/>
          <w:u w:val="single"/>
        </w:rPr>
        <w:t xml:space="preserve"> </w:t>
      </w:r>
      <w:r>
        <w:rPr>
          <w:rFonts w:hint="eastAsia" w:ascii="宋体" w:hAnsi="宋体" w:eastAsia="宋体" w:cs="宋体"/>
          <w:color w:val="auto"/>
          <w:sz w:val="28"/>
          <w:szCs w:val="28"/>
          <w:highlight w:val="none"/>
          <w:u w:val="single"/>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2C43E4BB">
      <w:pPr>
        <w:pStyle w:val="19"/>
        <w:pageBreakBefore w:val="0"/>
        <w:kinsoku/>
        <w:overflowPunct/>
        <w:topLinePunct w:val="0"/>
        <w:bidi w:val="0"/>
        <w:snapToGrid/>
        <w:spacing w:before="50"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工程保修书具体内容见合同附件</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w:t>
      </w:r>
    </w:p>
    <w:p w14:paraId="3CFBCBE7">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15.4.3 修复通知</w:t>
      </w:r>
    </w:p>
    <w:p w14:paraId="697C5E43">
      <w:pPr>
        <w:pStyle w:val="19"/>
        <w:pageBreakBefore w:val="0"/>
        <w:tabs>
          <w:tab w:val="left" w:pos="7592"/>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人收</w:t>
      </w:r>
      <w:r>
        <w:rPr>
          <w:rFonts w:hint="eastAsia" w:ascii="宋体" w:hAnsi="宋体" w:eastAsia="宋体" w:cs="宋体"/>
          <w:color w:val="auto"/>
          <w:spacing w:val="-3"/>
          <w:sz w:val="28"/>
          <w:szCs w:val="28"/>
          <w:highlight w:val="none"/>
        </w:rPr>
        <w:t>到</w:t>
      </w:r>
      <w:r>
        <w:rPr>
          <w:rFonts w:hint="eastAsia" w:ascii="宋体" w:hAnsi="宋体" w:eastAsia="宋体" w:cs="宋体"/>
          <w:color w:val="auto"/>
          <w:sz w:val="28"/>
          <w:szCs w:val="28"/>
          <w:highlight w:val="none"/>
        </w:rPr>
        <w:t>保修</w:t>
      </w:r>
      <w:r>
        <w:rPr>
          <w:rFonts w:hint="eastAsia" w:ascii="宋体" w:hAnsi="宋体" w:eastAsia="宋体" w:cs="宋体"/>
          <w:color w:val="auto"/>
          <w:spacing w:val="-3"/>
          <w:sz w:val="28"/>
          <w:szCs w:val="28"/>
          <w:highlight w:val="none"/>
        </w:rPr>
        <w:t>通</w:t>
      </w:r>
      <w:r>
        <w:rPr>
          <w:rFonts w:hint="eastAsia" w:ascii="宋体" w:hAnsi="宋体" w:eastAsia="宋体" w:cs="宋体"/>
          <w:color w:val="auto"/>
          <w:sz w:val="28"/>
          <w:szCs w:val="28"/>
          <w:highlight w:val="none"/>
        </w:rPr>
        <w:t>知并</w:t>
      </w:r>
      <w:r>
        <w:rPr>
          <w:rFonts w:hint="eastAsia" w:ascii="宋体" w:hAnsi="宋体" w:eastAsia="宋体" w:cs="宋体"/>
          <w:color w:val="auto"/>
          <w:spacing w:val="-3"/>
          <w:sz w:val="28"/>
          <w:szCs w:val="28"/>
          <w:highlight w:val="none"/>
        </w:rPr>
        <w:t>到</w:t>
      </w:r>
      <w:r>
        <w:rPr>
          <w:rFonts w:hint="eastAsia" w:ascii="宋体" w:hAnsi="宋体" w:eastAsia="宋体" w:cs="宋体"/>
          <w:color w:val="auto"/>
          <w:sz w:val="28"/>
          <w:szCs w:val="28"/>
          <w:highlight w:val="none"/>
        </w:rPr>
        <w:t>达工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z w:val="28"/>
          <w:szCs w:val="28"/>
          <w:highlight w:val="none"/>
        </w:rPr>
        <w:t>现场</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合理</w:t>
      </w:r>
      <w:r>
        <w:rPr>
          <w:rFonts w:hint="eastAsia" w:ascii="宋体" w:hAnsi="宋体" w:eastAsia="宋体" w:cs="宋体"/>
          <w:color w:val="auto"/>
          <w:spacing w:val="-3"/>
          <w:sz w:val="28"/>
          <w:szCs w:val="28"/>
          <w:highlight w:val="none"/>
        </w:rPr>
        <w:t>时</w:t>
      </w:r>
      <w:r>
        <w:rPr>
          <w:rFonts w:hint="eastAsia" w:ascii="宋体" w:hAnsi="宋体" w:eastAsia="宋体" w:cs="宋体"/>
          <w:color w:val="auto"/>
          <w:sz w:val="28"/>
          <w:szCs w:val="28"/>
          <w:highlight w:val="none"/>
        </w:rPr>
        <w:t>间：</w:t>
      </w:r>
    </w:p>
    <w:p w14:paraId="353FA3D3">
      <w:pPr>
        <w:pageBreakBefore w:val="0"/>
        <w:numPr>
          <w:ilvl w:val="0"/>
          <w:numId w:val="21"/>
        </w:numPr>
        <w:tabs>
          <w:tab w:val="left" w:pos="777"/>
        </w:tabs>
        <w:kinsoku/>
        <w:overflowPunct/>
        <w:topLinePunct w:val="0"/>
        <w:bidi w:val="0"/>
        <w:snapToGrid/>
        <w:spacing w:before="191" w:line="560" w:lineRule="exact"/>
        <w:ind w:left="776" w:right="48" w:rightChars="23" w:hanging="445"/>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违约</w:t>
      </w:r>
    </w:p>
    <w:p w14:paraId="718A4628">
      <w:pPr>
        <w:pageBreakBefore w:val="0"/>
        <w:numPr>
          <w:ilvl w:val="1"/>
          <w:numId w:val="21"/>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发包人违约</w:t>
      </w:r>
    </w:p>
    <w:p w14:paraId="31E29220">
      <w:pPr>
        <w:pStyle w:val="196"/>
        <w:pageBreakBefore w:val="0"/>
        <w:numPr>
          <w:ilvl w:val="0"/>
          <w:numId w:val="0"/>
        </w:numPr>
        <w:tabs>
          <w:tab w:val="left" w:pos="1048"/>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16.1.1</w:t>
      </w:r>
      <w:r>
        <w:rPr>
          <w:rFonts w:hint="eastAsia" w:ascii="宋体" w:hAnsi="宋体" w:eastAsia="宋体" w:cs="宋体"/>
          <w:color w:val="auto"/>
          <w:spacing w:val="-3"/>
          <w:sz w:val="28"/>
          <w:szCs w:val="28"/>
          <w:highlight w:val="none"/>
        </w:rPr>
        <w:t>发包人违约的情形</w:t>
      </w:r>
    </w:p>
    <w:p w14:paraId="2038DBD5">
      <w:pPr>
        <w:pStyle w:val="19"/>
        <w:pageBreakBefore w:val="0"/>
        <w:tabs>
          <w:tab w:val="left" w:pos="4513"/>
        </w:tabs>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的其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情形：</w:t>
      </w:r>
      <w:r>
        <w:rPr>
          <w:rFonts w:hint="eastAsia" w:ascii="宋体" w:hAnsi="宋体" w:eastAsia="宋体" w:cs="宋体"/>
          <w:color w:val="auto"/>
          <w:sz w:val="28"/>
          <w:szCs w:val="28"/>
          <w:highlight w:val="none"/>
          <w:u w:val="single"/>
          <w:lang w:val="en-US" w:eastAsia="zh-CN"/>
        </w:rPr>
        <w:t>/</w:t>
      </w:r>
    </w:p>
    <w:p w14:paraId="7BB15C80">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16.1.2</w:t>
      </w:r>
      <w:r>
        <w:rPr>
          <w:rFonts w:hint="eastAsia" w:ascii="宋体" w:hAnsi="宋体" w:eastAsia="宋体" w:cs="宋体"/>
          <w:color w:val="auto"/>
          <w:spacing w:val="-3"/>
          <w:sz w:val="28"/>
          <w:szCs w:val="28"/>
          <w:highlight w:val="none"/>
        </w:rPr>
        <w:t>发包人违约的责任</w:t>
      </w:r>
    </w:p>
    <w:p w14:paraId="16F761BC">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发包人违约责任的承担方式和计算方法：</w:t>
      </w:r>
    </w:p>
    <w:p w14:paraId="5EF441CA">
      <w:pPr>
        <w:pStyle w:val="196"/>
        <w:pageBreakBefore w:val="0"/>
        <w:numPr>
          <w:ilvl w:val="0"/>
          <w:numId w:val="0"/>
        </w:numPr>
        <w:tabs>
          <w:tab w:val="left" w:pos="886"/>
          <w:tab w:val="left" w:pos="8252"/>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因</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原因</w:t>
      </w:r>
      <w:r>
        <w:rPr>
          <w:rFonts w:hint="eastAsia" w:ascii="宋体" w:hAnsi="宋体" w:eastAsia="宋体" w:cs="宋体"/>
          <w:color w:val="auto"/>
          <w:spacing w:val="-3"/>
          <w:sz w:val="28"/>
          <w:szCs w:val="28"/>
          <w:highlight w:val="none"/>
        </w:rPr>
        <w:t>未</w:t>
      </w:r>
      <w:r>
        <w:rPr>
          <w:rFonts w:hint="eastAsia" w:ascii="宋体" w:hAnsi="宋体" w:eastAsia="宋体" w:cs="宋体"/>
          <w:color w:val="auto"/>
          <w:sz w:val="28"/>
          <w:szCs w:val="28"/>
          <w:highlight w:val="none"/>
        </w:rPr>
        <w:t>能在</w:t>
      </w:r>
      <w:r>
        <w:rPr>
          <w:rFonts w:hint="eastAsia" w:ascii="宋体" w:hAnsi="宋体" w:eastAsia="宋体" w:cs="宋体"/>
          <w:color w:val="auto"/>
          <w:spacing w:val="-3"/>
          <w:sz w:val="28"/>
          <w:szCs w:val="28"/>
          <w:highlight w:val="none"/>
        </w:rPr>
        <w:t>计</w:t>
      </w:r>
      <w:r>
        <w:rPr>
          <w:rFonts w:hint="eastAsia" w:ascii="宋体" w:hAnsi="宋体" w:eastAsia="宋体" w:cs="宋体"/>
          <w:color w:val="auto"/>
          <w:sz w:val="28"/>
          <w:szCs w:val="28"/>
          <w:highlight w:val="none"/>
        </w:rPr>
        <w:t>划开</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日期前</w:t>
      </w:r>
      <w:r>
        <w:rPr>
          <w:rFonts w:hint="eastAsia" w:ascii="宋体" w:hAnsi="宋体" w:eastAsia="宋体" w:cs="宋体"/>
          <w:color w:val="auto"/>
          <w:spacing w:val="-56"/>
          <w:sz w:val="28"/>
          <w:szCs w:val="28"/>
          <w:highlight w:val="none"/>
        </w:rPr>
        <w:t xml:space="preserve"> </w:t>
      </w:r>
      <w:r>
        <w:rPr>
          <w:rFonts w:hint="eastAsia" w:ascii="宋体" w:hAnsi="宋体" w:eastAsia="宋体" w:cs="宋体"/>
          <w:color w:val="auto"/>
          <w:sz w:val="28"/>
          <w:szCs w:val="28"/>
          <w:highlight w:val="none"/>
        </w:rPr>
        <w:t>7</w:t>
      </w:r>
      <w:r>
        <w:rPr>
          <w:rFonts w:hint="eastAsia" w:ascii="宋体" w:hAnsi="宋体" w:eastAsia="宋体" w:cs="宋体"/>
          <w:color w:val="auto"/>
          <w:spacing w:val="-53"/>
          <w:sz w:val="28"/>
          <w:szCs w:val="28"/>
          <w:highlight w:val="none"/>
        </w:rPr>
        <w:t xml:space="preserve"> </w:t>
      </w:r>
      <w:r>
        <w:rPr>
          <w:rFonts w:hint="eastAsia" w:ascii="宋体" w:hAnsi="宋体" w:eastAsia="宋体" w:cs="宋体"/>
          <w:color w:val="auto"/>
          <w:sz w:val="28"/>
          <w:szCs w:val="28"/>
          <w:highlight w:val="none"/>
        </w:rPr>
        <w:t>天</w:t>
      </w:r>
      <w:r>
        <w:rPr>
          <w:rFonts w:hint="eastAsia" w:ascii="宋体" w:hAnsi="宋体" w:eastAsia="宋体" w:cs="宋体"/>
          <w:color w:val="auto"/>
          <w:spacing w:val="-3"/>
          <w:sz w:val="28"/>
          <w:szCs w:val="28"/>
          <w:highlight w:val="none"/>
        </w:rPr>
        <w:t>内</w:t>
      </w:r>
      <w:r>
        <w:rPr>
          <w:rFonts w:hint="eastAsia" w:ascii="宋体" w:hAnsi="宋体" w:eastAsia="宋体" w:cs="宋体"/>
          <w:color w:val="auto"/>
          <w:sz w:val="28"/>
          <w:szCs w:val="28"/>
          <w:highlight w:val="none"/>
        </w:rPr>
        <w:t>下达</w:t>
      </w:r>
      <w:r>
        <w:rPr>
          <w:rFonts w:hint="eastAsia" w:ascii="宋体" w:hAnsi="宋体" w:eastAsia="宋体" w:cs="宋体"/>
          <w:color w:val="auto"/>
          <w:spacing w:val="-3"/>
          <w:sz w:val="28"/>
          <w:szCs w:val="28"/>
          <w:highlight w:val="none"/>
        </w:rPr>
        <w:t>开</w:t>
      </w:r>
      <w:r>
        <w:rPr>
          <w:rFonts w:hint="eastAsia" w:ascii="宋体" w:hAnsi="宋体" w:eastAsia="宋体" w:cs="宋体"/>
          <w:color w:val="auto"/>
          <w:sz w:val="28"/>
          <w:szCs w:val="28"/>
          <w:highlight w:val="none"/>
        </w:rPr>
        <w:t>工通</w:t>
      </w:r>
      <w:r>
        <w:rPr>
          <w:rFonts w:hint="eastAsia" w:ascii="宋体" w:hAnsi="宋体" w:eastAsia="宋体" w:cs="宋体"/>
          <w:color w:val="auto"/>
          <w:spacing w:val="-3"/>
          <w:sz w:val="28"/>
          <w:szCs w:val="28"/>
          <w:highlight w:val="none"/>
        </w:rPr>
        <w:t>知</w:t>
      </w:r>
      <w:r>
        <w:rPr>
          <w:rFonts w:hint="eastAsia" w:ascii="宋体" w:hAnsi="宋体" w:eastAsia="宋体" w:cs="宋体"/>
          <w:color w:val="auto"/>
          <w:sz w:val="28"/>
          <w:szCs w:val="28"/>
          <w:highlight w:val="none"/>
        </w:rPr>
        <w:t>的违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责任</w:t>
      </w:r>
      <w:r>
        <w:rPr>
          <w:rFonts w:hint="eastAsia" w:ascii="宋体" w:hAnsi="宋体" w:eastAsia="宋体" w:cs="宋体"/>
          <w:color w:val="auto"/>
          <w:spacing w:val="-3"/>
          <w:sz w:val="28"/>
          <w:szCs w:val="28"/>
          <w:highlight w:val="none"/>
        </w:rPr>
        <w:t>：</w:t>
      </w:r>
    </w:p>
    <w:p w14:paraId="15E36F26">
      <w:pPr>
        <w:pStyle w:val="196"/>
        <w:pageBreakBefore w:val="0"/>
        <w:numPr>
          <w:ilvl w:val="0"/>
          <w:numId w:val="0"/>
        </w:numPr>
        <w:tabs>
          <w:tab w:val="left" w:pos="886"/>
          <w:tab w:val="left" w:pos="748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因</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原因</w:t>
      </w:r>
      <w:r>
        <w:rPr>
          <w:rFonts w:hint="eastAsia" w:ascii="宋体" w:hAnsi="宋体" w:eastAsia="宋体" w:cs="宋体"/>
          <w:color w:val="auto"/>
          <w:spacing w:val="-3"/>
          <w:sz w:val="28"/>
          <w:szCs w:val="28"/>
          <w:highlight w:val="none"/>
        </w:rPr>
        <w:t>未</w:t>
      </w:r>
      <w:r>
        <w:rPr>
          <w:rFonts w:hint="eastAsia" w:ascii="宋体" w:hAnsi="宋体" w:eastAsia="宋体" w:cs="宋体"/>
          <w:color w:val="auto"/>
          <w:sz w:val="28"/>
          <w:szCs w:val="28"/>
          <w:highlight w:val="none"/>
        </w:rPr>
        <w:t>能按</w:t>
      </w:r>
      <w:r>
        <w:rPr>
          <w:rFonts w:hint="eastAsia" w:ascii="宋体" w:hAnsi="宋体" w:eastAsia="宋体" w:cs="宋体"/>
          <w:color w:val="auto"/>
          <w:spacing w:val="-3"/>
          <w:sz w:val="28"/>
          <w:szCs w:val="28"/>
          <w:highlight w:val="none"/>
        </w:rPr>
        <w:t>合</w:t>
      </w:r>
      <w:r>
        <w:rPr>
          <w:rFonts w:hint="eastAsia" w:ascii="宋体" w:hAnsi="宋体" w:eastAsia="宋体" w:cs="宋体"/>
          <w:color w:val="auto"/>
          <w:sz w:val="28"/>
          <w:szCs w:val="28"/>
          <w:highlight w:val="none"/>
        </w:rPr>
        <w:t>同约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支付</w:t>
      </w:r>
      <w:r>
        <w:rPr>
          <w:rFonts w:hint="eastAsia" w:ascii="宋体" w:hAnsi="宋体" w:eastAsia="宋体" w:cs="宋体"/>
          <w:color w:val="auto"/>
          <w:spacing w:val="-3"/>
          <w:sz w:val="28"/>
          <w:szCs w:val="28"/>
          <w:highlight w:val="none"/>
        </w:rPr>
        <w:t>合</w:t>
      </w:r>
      <w:r>
        <w:rPr>
          <w:rFonts w:hint="eastAsia" w:ascii="宋体" w:hAnsi="宋体" w:eastAsia="宋体" w:cs="宋体"/>
          <w:color w:val="auto"/>
          <w:sz w:val="28"/>
          <w:szCs w:val="28"/>
          <w:highlight w:val="none"/>
        </w:rPr>
        <w:t>同价</w:t>
      </w:r>
      <w:r>
        <w:rPr>
          <w:rFonts w:hint="eastAsia" w:ascii="宋体" w:hAnsi="宋体" w:eastAsia="宋体" w:cs="宋体"/>
          <w:color w:val="auto"/>
          <w:spacing w:val="-3"/>
          <w:sz w:val="28"/>
          <w:szCs w:val="28"/>
          <w:highlight w:val="none"/>
        </w:rPr>
        <w:t>款</w:t>
      </w:r>
      <w:r>
        <w:rPr>
          <w:rFonts w:hint="eastAsia" w:ascii="宋体" w:hAnsi="宋体" w:eastAsia="宋体" w:cs="宋体"/>
          <w:color w:val="auto"/>
          <w:sz w:val="28"/>
          <w:szCs w:val="28"/>
          <w:highlight w:val="none"/>
        </w:rPr>
        <w:t>的违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责任</w:t>
      </w:r>
      <w:r>
        <w:rPr>
          <w:rFonts w:hint="eastAsia" w:ascii="宋体" w:hAnsi="宋体" w:eastAsia="宋体" w:cs="宋体"/>
          <w:color w:val="auto"/>
          <w:spacing w:val="-3"/>
          <w:sz w:val="28"/>
          <w:szCs w:val="28"/>
          <w:highlight w:val="none"/>
        </w:rPr>
        <w:t>：</w:t>
      </w:r>
    </w:p>
    <w:p w14:paraId="185C0FDA">
      <w:pPr>
        <w:pStyle w:val="196"/>
        <w:pageBreakBefore w:val="0"/>
        <w:numPr>
          <w:ilvl w:val="0"/>
          <w:numId w:val="0"/>
        </w:numPr>
        <w:tabs>
          <w:tab w:val="left" w:pos="886"/>
          <w:tab w:val="left" w:pos="308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(3)</w:t>
      </w:r>
      <w:r>
        <w:rPr>
          <w:rFonts w:hint="eastAsia" w:ascii="宋体" w:hAnsi="宋体" w:eastAsia="宋体" w:cs="宋体"/>
          <w:color w:val="auto"/>
          <w:spacing w:val="-3"/>
          <w:sz w:val="28"/>
          <w:szCs w:val="28"/>
          <w:highlight w:val="none"/>
        </w:rPr>
        <w:t>发</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违</w:t>
      </w:r>
      <w:r>
        <w:rPr>
          <w:rFonts w:hint="eastAsia" w:ascii="宋体" w:hAnsi="宋体" w:eastAsia="宋体" w:cs="宋体"/>
          <w:color w:val="auto"/>
          <w:sz w:val="28"/>
          <w:szCs w:val="28"/>
          <w:highlight w:val="none"/>
        </w:rPr>
        <w:t>反第</w:t>
      </w:r>
      <w:r>
        <w:rPr>
          <w:rFonts w:hint="eastAsia" w:ascii="宋体" w:hAnsi="宋体" w:eastAsia="宋体" w:cs="宋体"/>
          <w:color w:val="auto"/>
          <w:spacing w:val="-52"/>
          <w:sz w:val="28"/>
          <w:szCs w:val="28"/>
          <w:highlight w:val="none"/>
        </w:rPr>
        <w:t xml:space="preserve"> </w:t>
      </w:r>
      <w:r>
        <w:rPr>
          <w:rFonts w:hint="eastAsia" w:ascii="宋体" w:hAnsi="宋体" w:eastAsia="宋体" w:cs="宋体"/>
          <w:color w:val="auto"/>
          <w:sz w:val="28"/>
          <w:szCs w:val="28"/>
          <w:highlight w:val="none"/>
        </w:rPr>
        <w:t>10.1</w:t>
      </w:r>
      <w:r>
        <w:rPr>
          <w:rFonts w:hint="eastAsia" w:ascii="宋体" w:hAnsi="宋体" w:eastAsia="宋体" w:cs="宋体"/>
          <w:color w:val="auto"/>
          <w:spacing w:val="-54"/>
          <w:sz w:val="28"/>
          <w:szCs w:val="28"/>
          <w:highlight w:val="none"/>
        </w:rPr>
        <w:t xml:space="preserve"> </w:t>
      </w:r>
      <w:r>
        <w:rPr>
          <w:rFonts w:hint="eastAsia" w:ascii="宋体" w:hAnsi="宋体" w:eastAsia="宋体" w:cs="宋体"/>
          <w:color w:val="auto"/>
          <w:sz w:val="28"/>
          <w:szCs w:val="28"/>
          <w:highlight w:val="none"/>
        </w:rPr>
        <w:t>款</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变更</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范围</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第（2）</w:t>
      </w:r>
      <w:r>
        <w:rPr>
          <w:rFonts w:hint="eastAsia" w:ascii="宋体" w:hAnsi="宋体" w:eastAsia="宋体" w:cs="宋体"/>
          <w:color w:val="auto"/>
          <w:spacing w:val="-3"/>
          <w:sz w:val="28"/>
          <w:szCs w:val="28"/>
          <w:highlight w:val="none"/>
        </w:rPr>
        <w:t>项</w:t>
      </w:r>
      <w:r>
        <w:rPr>
          <w:rFonts w:hint="eastAsia" w:ascii="宋体" w:hAnsi="宋体" w:eastAsia="宋体" w:cs="宋体"/>
          <w:color w:val="auto"/>
          <w:sz w:val="28"/>
          <w:szCs w:val="28"/>
          <w:highlight w:val="none"/>
        </w:rPr>
        <w:t>约定</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自行</w:t>
      </w:r>
      <w:r>
        <w:rPr>
          <w:rFonts w:hint="eastAsia" w:ascii="宋体" w:hAnsi="宋体" w:eastAsia="宋体" w:cs="宋体"/>
          <w:color w:val="auto"/>
          <w:spacing w:val="-3"/>
          <w:sz w:val="28"/>
          <w:szCs w:val="28"/>
          <w:highlight w:val="none"/>
        </w:rPr>
        <w:t>实</w:t>
      </w:r>
      <w:r>
        <w:rPr>
          <w:rFonts w:hint="eastAsia" w:ascii="宋体" w:hAnsi="宋体" w:eastAsia="宋体" w:cs="宋体"/>
          <w:color w:val="auto"/>
          <w:sz w:val="28"/>
          <w:szCs w:val="28"/>
          <w:highlight w:val="none"/>
        </w:rPr>
        <w:t>施被</w:t>
      </w:r>
      <w:r>
        <w:rPr>
          <w:rFonts w:hint="eastAsia" w:ascii="宋体" w:hAnsi="宋体" w:eastAsia="宋体" w:cs="宋体"/>
          <w:color w:val="auto"/>
          <w:spacing w:val="-3"/>
          <w:sz w:val="28"/>
          <w:szCs w:val="28"/>
          <w:highlight w:val="none"/>
        </w:rPr>
        <w:t>取</w:t>
      </w:r>
      <w:r>
        <w:rPr>
          <w:rFonts w:hint="eastAsia" w:ascii="宋体" w:hAnsi="宋体" w:eastAsia="宋体" w:cs="宋体"/>
          <w:color w:val="auto"/>
          <w:sz w:val="28"/>
          <w:szCs w:val="28"/>
          <w:highlight w:val="none"/>
        </w:rPr>
        <w:t>消的</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作或</w:t>
      </w:r>
      <w:r>
        <w:rPr>
          <w:rFonts w:hint="eastAsia" w:ascii="宋体" w:hAnsi="宋体" w:eastAsia="宋体" w:cs="宋体"/>
          <w:color w:val="auto"/>
          <w:spacing w:val="-3"/>
          <w:sz w:val="28"/>
          <w:szCs w:val="28"/>
          <w:highlight w:val="none"/>
        </w:rPr>
        <w:t>转</w:t>
      </w:r>
      <w:r>
        <w:rPr>
          <w:rFonts w:hint="eastAsia" w:ascii="宋体" w:hAnsi="宋体" w:eastAsia="宋体" w:cs="宋体"/>
          <w:color w:val="auto"/>
          <w:sz w:val="28"/>
          <w:szCs w:val="28"/>
          <w:highlight w:val="none"/>
        </w:rPr>
        <w:t>由他</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实施的</w:t>
      </w:r>
      <w:r>
        <w:rPr>
          <w:rFonts w:hint="eastAsia" w:ascii="宋体" w:hAnsi="宋体" w:eastAsia="宋体" w:cs="宋体"/>
          <w:color w:val="auto"/>
          <w:spacing w:val="-3"/>
          <w:sz w:val="28"/>
          <w:szCs w:val="28"/>
          <w:highlight w:val="none"/>
        </w:rPr>
        <w:t>违</w:t>
      </w:r>
      <w:r>
        <w:rPr>
          <w:rFonts w:hint="eastAsia" w:ascii="宋体" w:hAnsi="宋体" w:eastAsia="宋体" w:cs="宋体"/>
          <w:color w:val="auto"/>
          <w:sz w:val="28"/>
          <w:szCs w:val="28"/>
          <w:highlight w:val="none"/>
        </w:rPr>
        <w:t>约责</w:t>
      </w:r>
      <w:r>
        <w:rPr>
          <w:rFonts w:hint="eastAsia" w:ascii="宋体" w:hAnsi="宋体" w:eastAsia="宋体" w:cs="宋体"/>
          <w:color w:val="auto"/>
          <w:spacing w:val="-3"/>
          <w:sz w:val="28"/>
          <w:szCs w:val="28"/>
          <w:highlight w:val="none"/>
        </w:rPr>
        <w:t>任</w:t>
      </w:r>
      <w:r>
        <w:rPr>
          <w:rFonts w:hint="eastAsia" w:ascii="宋体" w:hAnsi="宋体" w:eastAsia="宋体" w:cs="宋体"/>
          <w:color w:val="auto"/>
          <w:sz w:val="28"/>
          <w:szCs w:val="28"/>
          <w:highlight w:val="none"/>
        </w:rPr>
        <w:t>：</w:t>
      </w:r>
    </w:p>
    <w:p w14:paraId="65B65E99">
      <w:pPr>
        <w:pStyle w:val="196"/>
        <w:pageBreakBefore w:val="0"/>
        <w:numPr>
          <w:ilvl w:val="0"/>
          <w:numId w:val="0"/>
        </w:numPr>
        <w:tabs>
          <w:tab w:val="left" w:pos="886"/>
          <w:tab w:val="left" w:pos="5723"/>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(4)</w:t>
      </w:r>
      <w:r>
        <w:rPr>
          <w:rFonts w:hint="eastAsia" w:ascii="宋体" w:hAnsi="宋体" w:eastAsia="宋体" w:cs="宋体"/>
          <w:color w:val="auto"/>
          <w:spacing w:val="-3"/>
          <w:sz w:val="28"/>
          <w:szCs w:val="28"/>
          <w:highlight w:val="none"/>
        </w:rPr>
        <w:t>发</w:t>
      </w:r>
      <w:r>
        <w:rPr>
          <w:rFonts w:hint="eastAsia" w:ascii="宋体" w:hAnsi="宋体" w:eastAsia="宋体" w:cs="宋体"/>
          <w:color w:val="auto"/>
          <w:spacing w:val="-1"/>
          <w:sz w:val="28"/>
          <w:szCs w:val="28"/>
          <w:highlight w:val="none"/>
        </w:rPr>
        <w:t>包人</w:t>
      </w:r>
      <w:r>
        <w:rPr>
          <w:rFonts w:hint="eastAsia" w:ascii="宋体" w:hAnsi="宋体" w:eastAsia="宋体" w:cs="宋体"/>
          <w:color w:val="auto"/>
          <w:spacing w:val="-3"/>
          <w:sz w:val="28"/>
          <w:szCs w:val="28"/>
          <w:highlight w:val="none"/>
        </w:rPr>
        <w:t>提</w:t>
      </w:r>
      <w:r>
        <w:rPr>
          <w:rFonts w:hint="eastAsia" w:ascii="宋体" w:hAnsi="宋体" w:eastAsia="宋体" w:cs="宋体"/>
          <w:color w:val="auto"/>
          <w:spacing w:val="-1"/>
          <w:sz w:val="28"/>
          <w:szCs w:val="28"/>
          <w:highlight w:val="none"/>
        </w:rPr>
        <w:t>供</w:t>
      </w:r>
      <w:r>
        <w:rPr>
          <w:rFonts w:hint="eastAsia" w:ascii="宋体" w:hAnsi="宋体" w:eastAsia="宋体" w:cs="宋体"/>
          <w:color w:val="auto"/>
          <w:sz w:val="28"/>
          <w:szCs w:val="28"/>
          <w:highlight w:val="none"/>
        </w:rPr>
        <w:t>的</w:t>
      </w:r>
      <w:r>
        <w:rPr>
          <w:rFonts w:hint="eastAsia" w:ascii="宋体" w:hAnsi="宋体" w:eastAsia="宋体" w:cs="宋体"/>
          <w:color w:val="auto"/>
          <w:spacing w:val="-3"/>
          <w:sz w:val="28"/>
          <w:szCs w:val="28"/>
          <w:highlight w:val="none"/>
        </w:rPr>
        <w:t>材</w:t>
      </w:r>
      <w:r>
        <w:rPr>
          <w:rFonts w:hint="eastAsia" w:ascii="宋体" w:hAnsi="宋体" w:eastAsia="宋体" w:cs="宋体"/>
          <w:color w:val="auto"/>
          <w:sz w:val="28"/>
          <w:szCs w:val="28"/>
          <w:highlight w:val="none"/>
        </w:rPr>
        <w:t>料、</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程设</w:t>
      </w:r>
      <w:r>
        <w:rPr>
          <w:rFonts w:hint="eastAsia" w:ascii="宋体" w:hAnsi="宋体" w:eastAsia="宋体" w:cs="宋体"/>
          <w:color w:val="auto"/>
          <w:spacing w:val="-3"/>
          <w:sz w:val="28"/>
          <w:szCs w:val="28"/>
          <w:highlight w:val="none"/>
        </w:rPr>
        <w:t>备</w:t>
      </w:r>
      <w:r>
        <w:rPr>
          <w:rFonts w:hint="eastAsia" w:ascii="宋体" w:hAnsi="宋体" w:eastAsia="宋体" w:cs="宋体"/>
          <w:color w:val="auto"/>
          <w:sz w:val="28"/>
          <w:szCs w:val="28"/>
          <w:highlight w:val="none"/>
        </w:rPr>
        <w:t>的规</w:t>
      </w:r>
      <w:r>
        <w:rPr>
          <w:rFonts w:hint="eastAsia" w:ascii="宋体" w:hAnsi="宋体" w:eastAsia="宋体" w:cs="宋体"/>
          <w:color w:val="auto"/>
          <w:spacing w:val="-3"/>
          <w:sz w:val="28"/>
          <w:szCs w:val="28"/>
          <w:highlight w:val="none"/>
        </w:rPr>
        <w:t>格</w:t>
      </w:r>
      <w:r>
        <w:rPr>
          <w:rFonts w:hint="eastAsia" w:ascii="宋体" w:hAnsi="宋体" w:eastAsia="宋体" w:cs="宋体"/>
          <w:color w:val="auto"/>
          <w:sz w:val="28"/>
          <w:szCs w:val="28"/>
          <w:highlight w:val="none"/>
        </w:rPr>
        <w:t>、数</w:t>
      </w:r>
      <w:r>
        <w:rPr>
          <w:rFonts w:hint="eastAsia" w:ascii="宋体" w:hAnsi="宋体" w:eastAsia="宋体" w:cs="宋体"/>
          <w:color w:val="auto"/>
          <w:spacing w:val="-3"/>
          <w:sz w:val="28"/>
          <w:szCs w:val="28"/>
          <w:highlight w:val="none"/>
        </w:rPr>
        <w:t>量</w:t>
      </w:r>
      <w:r>
        <w:rPr>
          <w:rFonts w:hint="eastAsia" w:ascii="宋体" w:hAnsi="宋体" w:eastAsia="宋体" w:cs="宋体"/>
          <w:color w:val="auto"/>
          <w:sz w:val="28"/>
          <w:szCs w:val="28"/>
          <w:highlight w:val="none"/>
        </w:rPr>
        <w:t>或质</w:t>
      </w:r>
      <w:r>
        <w:rPr>
          <w:rFonts w:hint="eastAsia" w:ascii="宋体" w:hAnsi="宋体" w:eastAsia="宋体" w:cs="宋体"/>
          <w:color w:val="auto"/>
          <w:spacing w:val="-3"/>
          <w:sz w:val="28"/>
          <w:szCs w:val="28"/>
          <w:highlight w:val="none"/>
        </w:rPr>
        <w:t>量</w:t>
      </w:r>
      <w:r>
        <w:rPr>
          <w:rFonts w:hint="eastAsia" w:ascii="宋体" w:hAnsi="宋体" w:eastAsia="宋体" w:cs="宋体"/>
          <w:color w:val="auto"/>
          <w:sz w:val="28"/>
          <w:szCs w:val="28"/>
          <w:highlight w:val="none"/>
        </w:rPr>
        <w:t>不符</w:t>
      </w:r>
      <w:r>
        <w:rPr>
          <w:rFonts w:hint="eastAsia" w:ascii="宋体" w:hAnsi="宋体" w:eastAsia="宋体" w:cs="宋体"/>
          <w:color w:val="auto"/>
          <w:spacing w:val="-3"/>
          <w:sz w:val="28"/>
          <w:szCs w:val="28"/>
          <w:highlight w:val="none"/>
        </w:rPr>
        <w:t>合</w:t>
      </w:r>
      <w:r>
        <w:rPr>
          <w:rFonts w:hint="eastAsia" w:ascii="宋体" w:hAnsi="宋体" w:eastAsia="宋体" w:cs="宋体"/>
          <w:color w:val="auto"/>
          <w:sz w:val="28"/>
          <w:szCs w:val="28"/>
          <w:highlight w:val="none"/>
        </w:rPr>
        <w:t>合同</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r>
        <w:rPr>
          <w:rFonts w:hint="eastAsia" w:ascii="宋体" w:hAnsi="宋体" w:eastAsia="宋体" w:cs="宋体"/>
          <w:color w:val="auto"/>
          <w:spacing w:val="-3"/>
          <w:sz w:val="28"/>
          <w:szCs w:val="28"/>
          <w:highlight w:val="none"/>
        </w:rPr>
        <w:t>或</w:t>
      </w:r>
      <w:r>
        <w:rPr>
          <w:rFonts w:hint="eastAsia" w:ascii="宋体" w:hAnsi="宋体" w:eastAsia="宋体" w:cs="宋体"/>
          <w:color w:val="auto"/>
          <w:sz w:val="28"/>
          <w:szCs w:val="28"/>
          <w:highlight w:val="none"/>
        </w:rPr>
        <w:t>因发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人原</w:t>
      </w:r>
      <w:r>
        <w:rPr>
          <w:rFonts w:hint="eastAsia" w:ascii="宋体" w:hAnsi="宋体" w:eastAsia="宋体" w:cs="宋体"/>
          <w:color w:val="auto"/>
          <w:spacing w:val="-3"/>
          <w:sz w:val="28"/>
          <w:szCs w:val="28"/>
          <w:highlight w:val="none"/>
        </w:rPr>
        <w:t>因</w:t>
      </w:r>
      <w:r>
        <w:rPr>
          <w:rFonts w:hint="eastAsia" w:ascii="宋体" w:hAnsi="宋体" w:eastAsia="宋体" w:cs="宋体"/>
          <w:color w:val="auto"/>
          <w:sz w:val="28"/>
          <w:szCs w:val="28"/>
          <w:highlight w:val="none"/>
        </w:rPr>
        <w:t>导致</w:t>
      </w:r>
      <w:r>
        <w:rPr>
          <w:rFonts w:hint="eastAsia" w:ascii="宋体" w:hAnsi="宋体" w:eastAsia="宋体" w:cs="宋体"/>
          <w:color w:val="auto"/>
          <w:spacing w:val="-3"/>
          <w:sz w:val="28"/>
          <w:szCs w:val="28"/>
          <w:highlight w:val="none"/>
        </w:rPr>
        <w:t>交</w:t>
      </w:r>
      <w:r>
        <w:rPr>
          <w:rFonts w:hint="eastAsia" w:ascii="宋体" w:hAnsi="宋体" w:eastAsia="宋体" w:cs="宋体"/>
          <w:color w:val="auto"/>
          <w:sz w:val="28"/>
          <w:szCs w:val="28"/>
          <w:highlight w:val="none"/>
        </w:rPr>
        <w:t>货日</w:t>
      </w:r>
      <w:r>
        <w:rPr>
          <w:rFonts w:hint="eastAsia" w:ascii="宋体" w:hAnsi="宋体" w:eastAsia="宋体" w:cs="宋体"/>
          <w:color w:val="auto"/>
          <w:spacing w:val="-3"/>
          <w:sz w:val="28"/>
          <w:szCs w:val="28"/>
          <w:highlight w:val="none"/>
        </w:rPr>
        <w:t>期</w:t>
      </w:r>
      <w:r>
        <w:rPr>
          <w:rFonts w:hint="eastAsia" w:ascii="宋体" w:hAnsi="宋体" w:eastAsia="宋体" w:cs="宋体"/>
          <w:color w:val="auto"/>
          <w:sz w:val="28"/>
          <w:szCs w:val="28"/>
          <w:highlight w:val="none"/>
        </w:rPr>
        <w:t>延误</w:t>
      </w:r>
      <w:r>
        <w:rPr>
          <w:rFonts w:hint="eastAsia" w:ascii="宋体" w:hAnsi="宋体" w:eastAsia="宋体" w:cs="宋体"/>
          <w:color w:val="auto"/>
          <w:spacing w:val="-3"/>
          <w:sz w:val="28"/>
          <w:szCs w:val="28"/>
          <w:highlight w:val="none"/>
        </w:rPr>
        <w:t>或</w:t>
      </w:r>
      <w:r>
        <w:rPr>
          <w:rFonts w:hint="eastAsia" w:ascii="宋体" w:hAnsi="宋体" w:eastAsia="宋体" w:cs="宋体"/>
          <w:color w:val="auto"/>
          <w:sz w:val="28"/>
          <w:szCs w:val="28"/>
          <w:highlight w:val="none"/>
        </w:rPr>
        <w:t>交货</w:t>
      </w:r>
      <w:r>
        <w:rPr>
          <w:rFonts w:hint="eastAsia" w:ascii="宋体" w:hAnsi="宋体" w:eastAsia="宋体" w:cs="宋体"/>
          <w:color w:val="auto"/>
          <w:spacing w:val="-3"/>
          <w:sz w:val="28"/>
          <w:szCs w:val="28"/>
          <w:highlight w:val="none"/>
        </w:rPr>
        <w:t>地</w:t>
      </w:r>
      <w:r>
        <w:rPr>
          <w:rFonts w:hint="eastAsia" w:ascii="宋体" w:hAnsi="宋体" w:eastAsia="宋体" w:cs="宋体"/>
          <w:color w:val="auto"/>
          <w:sz w:val="28"/>
          <w:szCs w:val="28"/>
          <w:highlight w:val="none"/>
        </w:rPr>
        <w:t>点变</w:t>
      </w:r>
      <w:r>
        <w:rPr>
          <w:rFonts w:hint="eastAsia" w:ascii="宋体" w:hAnsi="宋体" w:eastAsia="宋体" w:cs="宋体"/>
          <w:color w:val="auto"/>
          <w:spacing w:val="-3"/>
          <w:sz w:val="28"/>
          <w:szCs w:val="28"/>
          <w:highlight w:val="none"/>
        </w:rPr>
        <w:t>更</w:t>
      </w:r>
      <w:r>
        <w:rPr>
          <w:rFonts w:hint="eastAsia" w:ascii="宋体" w:hAnsi="宋体" w:eastAsia="宋体" w:cs="宋体"/>
          <w:color w:val="auto"/>
          <w:sz w:val="28"/>
          <w:szCs w:val="28"/>
          <w:highlight w:val="none"/>
        </w:rPr>
        <w:t>等情</w:t>
      </w:r>
      <w:r>
        <w:rPr>
          <w:rFonts w:hint="eastAsia" w:ascii="宋体" w:hAnsi="宋体" w:eastAsia="宋体" w:cs="宋体"/>
          <w:color w:val="auto"/>
          <w:spacing w:val="-3"/>
          <w:sz w:val="28"/>
          <w:szCs w:val="28"/>
          <w:highlight w:val="none"/>
        </w:rPr>
        <w:t>况</w:t>
      </w:r>
      <w:r>
        <w:rPr>
          <w:rFonts w:hint="eastAsia" w:ascii="宋体" w:hAnsi="宋体" w:eastAsia="宋体" w:cs="宋体"/>
          <w:color w:val="auto"/>
          <w:sz w:val="28"/>
          <w:szCs w:val="28"/>
          <w:highlight w:val="none"/>
        </w:rPr>
        <w:t>的违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责任：</w:t>
      </w:r>
    </w:p>
    <w:p w14:paraId="51CA226C">
      <w:pPr>
        <w:pStyle w:val="196"/>
        <w:pageBreakBefore w:val="0"/>
        <w:numPr>
          <w:ilvl w:val="0"/>
          <w:numId w:val="0"/>
        </w:numPr>
        <w:tabs>
          <w:tab w:val="left" w:pos="886"/>
          <w:tab w:val="left" w:pos="7374"/>
        </w:tabs>
        <w:kinsoku/>
        <w:overflowPunct/>
        <w:topLinePunct w:val="0"/>
        <w:bidi w:val="0"/>
        <w:snapToGrid/>
        <w:spacing w:before="1"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(5)</w:t>
      </w:r>
      <w:r>
        <w:rPr>
          <w:rFonts w:hint="eastAsia" w:ascii="宋体" w:hAnsi="宋体" w:eastAsia="宋体" w:cs="宋体"/>
          <w:color w:val="auto"/>
          <w:spacing w:val="-3"/>
          <w:sz w:val="28"/>
          <w:szCs w:val="28"/>
          <w:highlight w:val="none"/>
        </w:rPr>
        <w:t>因</w:t>
      </w:r>
      <w:r>
        <w:rPr>
          <w:rFonts w:hint="eastAsia" w:ascii="宋体" w:hAnsi="宋体" w:eastAsia="宋体" w:cs="宋体"/>
          <w:color w:val="auto"/>
          <w:sz w:val="28"/>
          <w:szCs w:val="28"/>
          <w:highlight w:val="none"/>
        </w:rPr>
        <w:t>发包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违反</w:t>
      </w:r>
      <w:r>
        <w:rPr>
          <w:rFonts w:hint="eastAsia" w:ascii="宋体" w:hAnsi="宋体" w:eastAsia="宋体" w:cs="宋体"/>
          <w:color w:val="auto"/>
          <w:spacing w:val="-3"/>
          <w:sz w:val="28"/>
          <w:szCs w:val="28"/>
          <w:highlight w:val="none"/>
        </w:rPr>
        <w:t>合</w:t>
      </w:r>
      <w:r>
        <w:rPr>
          <w:rFonts w:hint="eastAsia" w:ascii="宋体" w:hAnsi="宋体" w:eastAsia="宋体" w:cs="宋体"/>
          <w:color w:val="auto"/>
          <w:sz w:val="28"/>
          <w:szCs w:val="28"/>
          <w:highlight w:val="none"/>
        </w:rPr>
        <w:t>同约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造成</w:t>
      </w:r>
      <w:r>
        <w:rPr>
          <w:rFonts w:hint="eastAsia" w:ascii="宋体" w:hAnsi="宋体" w:eastAsia="宋体" w:cs="宋体"/>
          <w:color w:val="auto"/>
          <w:spacing w:val="-3"/>
          <w:sz w:val="28"/>
          <w:szCs w:val="28"/>
          <w:highlight w:val="none"/>
        </w:rPr>
        <w:t>暂</w:t>
      </w:r>
      <w:r>
        <w:rPr>
          <w:rFonts w:hint="eastAsia" w:ascii="宋体" w:hAnsi="宋体" w:eastAsia="宋体" w:cs="宋体"/>
          <w:color w:val="auto"/>
          <w:sz w:val="28"/>
          <w:szCs w:val="28"/>
          <w:highlight w:val="none"/>
        </w:rPr>
        <w:t>停施</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的违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责任：</w:t>
      </w:r>
    </w:p>
    <w:p w14:paraId="0359DCA1">
      <w:pPr>
        <w:pStyle w:val="196"/>
        <w:pageBreakBefore w:val="0"/>
        <w:numPr>
          <w:ilvl w:val="0"/>
          <w:numId w:val="0"/>
        </w:numPr>
        <w:tabs>
          <w:tab w:val="left" w:pos="886"/>
          <w:tab w:val="left" w:pos="286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(6)</w:t>
      </w:r>
      <w:r>
        <w:rPr>
          <w:rFonts w:hint="eastAsia" w:ascii="宋体" w:hAnsi="宋体" w:eastAsia="宋体" w:cs="宋体"/>
          <w:color w:val="auto"/>
          <w:spacing w:val="-3"/>
          <w:sz w:val="28"/>
          <w:szCs w:val="28"/>
          <w:highlight w:val="none"/>
        </w:rPr>
        <w:t>发</w:t>
      </w:r>
      <w:r>
        <w:rPr>
          <w:rFonts w:hint="eastAsia" w:ascii="宋体" w:hAnsi="宋体" w:eastAsia="宋体" w:cs="宋体"/>
          <w:color w:val="auto"/>
          <w:spacing w:val="-1"/>
          <w:sz w:val="28"/>
          <w:szCs w:val="28"/>
          <w:highlight w:val="none"/>
        </w:rPr>
        <w:t>包人</w:t>
      </w:r>
      <w:r>
        <w:rPr>
          <w:rFonts w:hint="eastAsia" w:ascii="宋体" w:hAnsi="宋体" w:eastAsia="宋体" w:cs="宋体"/>
          <w:color w:val="auto"/>
          <w:spacing w:val="-3"/>
          <w:sz w:val="28"/>
          <w:szCs w:val="28"/>
          <w:highlight w:val="none"/>
        </w:rPr>
        <w:t>无</w:t>
      </w:r>
      <w:r>
        <w:rPr>
          <w:rFonts w:hint="eastAsia" w:ascii="宋体" w:hAnsi="宋体" w:eastAsia="宋体" w:cs="宋体"/>
          <w:color w:val="auto"/>
          <w:sz w:val="28"/>
          <w:szCs w:val="28"/>
          <w:highlight w:val="none"/>
        </w:rPr>
        <w:t>正当</w:t>
      </w:r>
      <w:r>
        <w:rPr>
          <w:rFonts w:hint="eastAsia" w:ascii="宋体" w:hAnsi="宋体" w:eastAsia="宋体" w:cs="宋体"/>
          <w:color w:val="auto"/>
          <w:spacing w:val="-3"/>
          <w:sz w:val="28"/>
          <w:szCs w:val="28"/>
          <w:highlight w:val="none"/>
        </w:rPr>
        <w:t>理</w:t>
      </w:r>
      <w:r>
        <w:rPr>
          <w:rFonts w:hint="eastAsia" w:ascii="宋体" w:hAnsi="宋体" w:eastAsia="宋体" w:cs="宋体"/>
          <w:color w:val="auto"/>
          <w:sz w:val="28"/>
          <w:szCs w:val="28"/>
          <w:highlight w:val="none"/>
        </w:rPr>
        <w:t>由没</w:t>
      </w:r>
      <w:r>
        <w:rPr>
          <w:rFonts w:hint="eastAsia" w:ascii="宋体" w:hAnsi="宋体" w:eastAsia="宋体" w:cs="宋体"/>
          <w:color w:val="auto"/>
          <w:spacing w:val="-3"/>
          <w:sz w:val="28"/>
          <w:szCs w:val="28"/>
          <w:highlight w:val="none"/>
        </w:rPr>
        <w:t>有</w:t>
      </w:r>
      <w:r>
        <w:rPr>
          <w:rFonts w:hint="eastAsia" w:ascii="宋体" w:hAnsi="宋体" w:eastAsia="宋体" w:cs="宋体"/>
          <w:color w:val="auto"/>
          <w:sz w:val="28"/>
          <w:szCs w:val="28"/>
          <w:highlight w:val="none"/>
        </w:rPr>
        <w:t>在约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期限</w:t>
      </w:r>
      <w:r>
        <w:rPr>
          <w:rFonts w:hint="eastAsia" w:ascii="宋体" w:hAnsi="宋体" w:eastAsia="宋体" w:cs="宋体"/>
          <w:color w:val="auto"/>
          <w:spacing w:val="-3"/>
          <w:sz w:val="28"/>
          <w:szCs w:val="28"/>
          <w:highlight w:val="none"/>
        </w:rPr>
        <w:t>内</w:t>
      </w:r>
      <w:r>
        <w:rPr>
          <w:rFonts w:hint="eastAsia" w:ascii="宋体" w:hAnsi="宋体" w:eastAsia="宋体" w:cs="宋体"/>
          <w:color w:val="auto"/>
          <w:sz w:val="28"/>
          <w:szCs w:val="28"/>
          <w:highlight w:val="none"/>
        </w:rPr>
        <w:t>发出</w:t>
      </w:r>
      <w:r>
        <w:rPr>
          <w:rFonts w:hint="eastAsia" w:ascii="宋体" w:hAnsi="宋体" w:eastAsia="宋体" w:cs="宋体"/>
          <w:color w:val="auto"/>
          <w:spacing w:val="-3"/>
          <w:sz w:val="28"/>
          <w:szCs w:val="28"/>
          <w:highlight w:val="none"/>
        </w:rPr>
        <w:t>复</w:t>
      </w:r>
      <w:r>
        <w:rPr>
          <w:rFonts w:hint="eastAsia" w:ascii="宋体" w:hAnsi="宋体" w:eastAsia="宋体" w:cs="宋体"/>
          <w:color w:val="auto"/>
          <w:sz w:val="28"/>
          <w:szCs w:val="28"/>
          <w:highlight w:val="none"/>
        </w:rPr>
        <w:t>工指</w:t>
      </w:r>
      <w:r>
        <w:rPr>
          <w:rFonts w:hint="eastAsia" w:ascii="宋体" w:hAnsi="宋体" w:eastAsia="宋体" w:cs="宋体"/>
          <w:color w:val="auto"/>
          <w:spacing w:val="-3"/>
          <w:sz w:val="28"/>
          <w:szCs w:val="28"/>
          <w:highlight w:val="none"/>
        </w:rPr>
        <w:t>示</w:t>
      </w:r>
      <w:r>
        <w:rPr>
          <w:rFonts w:hint="eastAsia" w:ascii="宋体" w:hAnsi="宋体" w:eastAsia="宋体" w:cs="宋体"/>
          <w:color w:val="auto"/>
          <w:sz w:val="28"/>
          <w:szCs w:val="28"/>
          <w:highlight w:val="none"/>
        </w:rPr>
        <w:t>，导</w:t>
      </w:r>
      <w:r>
        <w:rPr>
          <w:rFonts w:hint="eastAsia" w:ascii="宋体" w:hAnsi="宋体" w:eastAsia="宋体" w:cs="宋体"/>
          <w:color w:val="auto"/>
          <w:spacing w:val="-3"/>
          <w:sz w:val="28"/>
          <w:szCs w:val="28"/>
          <w:highlight w:val="none"/>
        </w:rPr>
        <w:t>致</w:t>
      </w:r>
      <w:r>
        <w:rPr>
          <w:rFonts w:hint="eastAsia" w:ascii="宋体" w:hAnsi="宋体" w:eastAsia="宋体" w:cs="宋体"/>
          <w:color w:val="auto"/>
          <w:sz w:val="28"/>
          <w:szCs w:val="28"/>
          <w:highlight w:val="none"/>
        </w:rPr>
        <w:t>承包</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无法</w:t>
      </w:r>
      <w:r>
        <w:rPr>
          <w:rFonts w:hint="eastAsia" w:ascii="宋体" w:hAnsi="宋体" w:eastAsia="宋体" w:cs="宋体"/>
          <w:color w:val="auto"/>
          <w:spacing w:val="-3"/>
          <w:sz w:val="28"/>
          <w:szCs w:val="28"/>
          <w:highlight w:val="none"/>
        </w:rPr>
        <w:t>复</w:t>
      </w:r>
      <w:r>
        <w:rPr>
          <w:rFonts w:hint="eastAsia" w:ascii="宋体" w:hAnsi="宋体" w:eastAsia="宋体" w:cs="宋体"/>
          <w:color w:val="auto"/>
          <w:sz w:val="28"/>
          <w:szCs w:val="28"/>
          <w:highlight w:val="none"/>
        </w:rPr>
        <w:t>工的</w:t>
      </w:r>
      <w:r>
        <w:rPr>
          <w:rFonts w:hint="eastAsia" w:ascii="宋体" w:hAnsi="宋体" w:eastAsia="宋体" w:cs="宋体"/>
          <w:color w:val="auto"/>
          <w:spacing w:val="-3"/>
          <w:sz w:val="28"/>
          <w:szCs w:val="28"/>
          <w:highlight w:val="none"/>
        </w:rPr>
        <w:t>违</w:t>
      </w:r>
      <w:r>
        <w:rPr>
          <w:rFonts w:hint="eastAsia" w:ascii="宋体" w:hAnsi="宋体" w:eastAsia="宋体" w:cs="宋体"/>
          <w:color w:val="auto"/>
          <w:sz w:val="28"/>
          <w:szCs w:val="28"/>
          <w:highlight w:val="none"/>
        </w:rPr>
        <w:t>约责任：</w:t>
      </w:r>
    </w:p>
    <w:p w14:paraId="6F77F299">
      <w:pPr>
        <w:pStyle w:val="196"/>
        <w:pageBreakBefore w:val="0"/>
        <w:numPr>
          <w:ilvl w:val="0"/>
          <w:numId w:val="0"/>
        </w:numPr>
        <w:tabs>
          <w:tab w:val="left" w:pos="886"/>
          <w:tab w:val="left" w:pos="3853"/>
        </w:tabs>
        <w:kinsoku/>
        <w:overflowPunct/>
        <w:topLinePunct w:val="0"/>
        <w:bidi w:val="0"/>
        <w:snapToGrid/>
        <w:spacing w:before="2"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(7)</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他：</w:t>
      </w:r>
      <w:r>
        <w:rPr>
          <w:rFonts w:hint="eastAsia" w:ascii="宋体" w:hAnsi="宋体" w:eastAsia="宋体" w:cs="宋体"/>
          <w:color w:val="auto"/>
          <w:sz w:val="28"/>
          <w:szCs w:val="28"/>
          <w:highlight w:val="none"/>
          <w:u w:val="single"/>
          <w:lang w:val="en-US" w:eastAsia="zh-CN"/>
        </w:rPr>
        <w:t>/</w:t>
      </w:r>
    </w:p>
    <w:p w14:paraId="5A9827AA">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16.1.3</w:t>
      </w:r>
      <w:r>
        <w:rPr>
          <w:rFonts w:hint="eastAsia" w:ascii="宋体" w:hAnsi="宋体" w:eastAsia="宋体" w:cs="宋体"/>
          <w:color w:val="auto"/>
          <w:spacing w:val="-3"/>
          <w:sz w:val="28"/>
          <w:szCs w:val="28"/>
          <w:highlight w:val="none"/>
        </w:rPr>
        <w:t>因发包人违约解除合同</w:t>
      </w:r>
    </w:p>
    <w:p w14:paraId="359E4511">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承包人按</w:t>
      </w:r>
      <w:r>
        <w:rPr>
          <w:rFonts w:hint="eastAsia" w:ascii="宋体" w:hAnsi="宋体" w:eastAsia="宋体" w:cs="宋体"/>
          <w:color w:val="auto"/>
          <w:spacing w:val="-1"/>
          <w:sz w:val="28"/>
          <w:szCs w:val="28"/>
          <w:highlight w:val="none"/>
        </w:rPr>
        <w:t>16.1.1</w:t>
      </w:r>
      <w:r>
        <w:rPr>
          <w:rFonts w:hint="eastAsia" w:ascii="宋体" w:hAnsi="宋体" w:eastAsia="宋体" w:cs="宋体"/>
          <w:color w:val="auto"/>
          <w:spacing w:val="-7"/>
          <w:sz w:val="28"/>
          <w:szCs w:val="28"/>
          <w:highlight w:val="none"/>
        </w:rPr>
        <w:t>项〔发包人违约的情形〕约定暂停施工满天后发包人仍不纠正其违约行为并致使合同</w:t>
      </w:r>
      <w:r>
        <w:rPr>
          <w:rFonts w:hint="eastAsia" w:ascii="宋体" w:hAnsi="宋体" w:eastAsia="宋体" w:cs="宋体"/>
          <w:color w:val="auto"/>
          <w:spacing w:val="-3"/>
          <w:sz w:val="28"/>
          <w:szCs w:val="28"/>
          <w:highlight w:val="none"/>
        </w:rPr>
        <w:t>目的不能实现的，承包人有权解除合同。</w:t>
      </w:r>
    </w:p>
    <w:p w14:paraId="4368E6D7">
      <w:pPr>
        <w:pageBreakBefore w:val="0"/>
        <w:numPr>
          <w:ilvl w:val="1"/>
          <w:numId w:val="21"/>
        </w:numPr>
        <w:tabs>
          <w:tab w:val="left" w:pos="888"/>
        </w:tabs>
        <w:kinsoku/>
        <w:overflowPunct/>
        <w:topLinePunct w:val="0"/>
        <w:bidi w:val="0"/>
        <w:snapToGrid/>
        <w:spacing w:before="0" w:line="560" w:lineRule="exact"/>
        <w:ind w:left="887" w:right="48" w:rightChars="23" w:hanging="556"/>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承包人违约</w:t>
      </w:r>
    </w:p>
    <w:p w14:paraId="635E79DF">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16.2.1</w:t>
      </w:r>
      <w:r>
        <w:rPr>
          <w:rFonts w:hint="eastAsia" w:ascii="宋体" w:hAnsi="宋体" w:eastAsia="宋体" w:cs="宋体"/>
          <w:color w:val="auto"/>
          <w:spacing w:val="-3"/>
          <w:sz w:val="28"/>
          <w:szCs w:val="28"/>
          <w:highlight w:val="none"/>
        </w:rPr>
        <w:t>承包人违约的情形</w:t>
      </w:r>
    </w:p>
    <w:p w14:paraId="351C306E">
      <w:pPr>
        <w:pStyle w:val="19"/>
        <w:pageBreakBefore w:val="0"/>
        <w:tabs>
          <w:tab w:val="left" w:pos="5833"/>
        </w:tabs>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人违</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的其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情形：</w:t>
      </w:r>
      <w:r>
        <w:rPr>
          <w:rFonts w:hint="eastAsia" w:ascii="宋体" w:hAnsi="宋体" w:eastAsia="宋体" w:cs="宋体"/>
          <w:color w:val="auto"/>
          <w:sz w:val="28"/>
          <w:szCs w:val="28"/>
          <w:highlight w:val="none"/>
          <w:u w:val="single"/>
          <w:lang w:val="en-US" w:eastAsia="zh-CN"/>
        </w:rPr>
        <w:t>/</w:t>
      </w:r>
    </w:p>
    <w:p w14:paraId="33AADAC2">
      <w:pPr>
        <w:pStyle w:val="196"/>
        <w:pageBreakBefore w:val="0"/>
        <w:numPr>
          <w:ilvl w:val="0"/>
          <w:numId w:val="0"/>
        </w:numPr>
        <w:tabs>
          <w:tab w:val="left" w:pos="1048"/>
        </w:tabs>
        <w:kinsoku/>
        <w:overflowPunct/>
        <w:topLinePunct w:val="0"/>
        <w:bidi w:val="0"/>
        <w:snapToGrid/>
        <w:spacing w:before="50" w:after="0" w:line="560" w:lineRule="exact"/>
        <w:ind w:leftChars="200" w:right="48" w:rightChars="23"/>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16.2.2</w:t>
      </w:r>
      <w:r>
        <w:rPr>
          <w:rFonts w:hint="eastAsia" w:ascii="宋体" w:hAnsi="宋体" w:eastAsia="宋体" w:cs="宋体"/>
          <w:color w:val="auto"/>
          <w:spacing w:val="-3"/>
          <w:sz w:val="28"/>
          <w:szCs w:val="28"/>
          <w:highlight w:val="none"/>
        </w:rPr>
        <w:t>承包人违约的责任</w:t>
      </w:r>
    </w:p>
    <w:p w14:paraId="58BE64D5">
      <w:pPr>
        <w:pStyle w:val="19"/>
        <w:pageBreakBefore w:val="0"/>
        <w:kinsoku/>
        <w:overflowPunct/>
        <w:topLinePunct w:val="0"/>
        <w:bidi w:val="0"/>
        <w:snapToGrid/>
        <w:spacing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承包人违约责任的承担方式和计算方法：</w:t>
      </w:r>
    </w:p>
    <w:p w14:paraId="7E4AC815">
      <w:pPr>
        <w:pStyle w:val="196"/>
        <w:pageBreakBefore w:val="0"/>
        <w:numPr>
          <w:ilvl w:val="0"/>
          <w:numId w:val="0"/>
        </w:numPr>
        <w:tabs>
          <w:tab w:val="left" w:pos="886"/>
        </w:tabs>
        <w:kinsoku/>
        <w:overflowPunct/>
        <w:topLinePunct w:val="0"/>
        <w:bidi w:val="0"/>
        <w:snapToGrid/>
        <w:spacing w:before="0" w:after="0" w:line="560" w:lineRule="exact"/>
        <w:ind w:leftChars="200" w:right="48" w:rightChars="23" w:firstLine="266" w:firstLineChars="100"/>
        <w:jc w:val="both"/>
        <w:rPr>
          <w:rFonts w:hint="eastAsia" w:ascii="宋体" w:hAnsi="宋体" w:eastAsia="宋体" w:cs="宋体"/>
          <w:color w:val="auto"/>
          <w:sz w:val="28"/>
          <w:szCs w:val="28"/>
          <w:highlight w:val="none"/>
        </w:rPr>
      </w:pPr>
      <w:r>
        <w:rPr>
          <w:rFonts w:hint="eastAsia" w:ascii="宋体" w:hAnsi="宋体" w:eastAsia="宋体" w:cs="宋体"/>
          <w:color w:val="auto"/>
          <w:spacing w:val="-7"/>
          <w:sz w:val="28"/>
          <w:szCs w:val="28"/>
          <w:highlight w:val="none"/>
          <w:lang w:val="en-US" w:eastAsia="zh-CN"/>
        </w:rPr>
        <w:t>(1)</w:t>
      </w:r>
      <w:r>
        <w:rPr>
          <w:rFonts w:hint="eastAsia" w:ascii="宋体" w:hAnsi="宋体" w:eastAsia="宋体" w:cs="宋体"/>
          <w:color w:val="auto"/>
          <w:spacing w:val="-7"/>
          <w:sz w:val="28"/>
          <w:szCs w:val="28"/>
          <w:highlight w:val="none"/>
        </w:rPr>
        <w:t xml:space="preserve">承包人未按本合同通用条款第 </w:t>
      </w:r>
      <w:r>
        <w:rPr>
          <w:rFonts w:hint="eastAsia" w:ascii="宋体" w:hAnsi="宋体" w:eastAsia="宋体" w:cs="宋体"/>
          <w:color w:val="auto"/>
          <w:sz w:val="28"/>
          <w:szCs w:val="28"/>
          <w:highlight w:val="none"/>
        </w:rPr>
        <w:t>16.2.1（2）</w:t>
      </w:r>
      <w:r>
        <w:rPr>
          <w:rFonts w:hint="eastAsia" w:ascii="宋体" w:hAnsi="宋体" w:eastAsia="宋体" w:cs="宋体"/>
          <w:color w:val="auto"/>
          <w:spacing w:val="-3"/>
          <w:sz w:val="28"/>
          <w:szCs w:val="28"/>
          <w:highlight w:val="none"/>
        </w:rPr>
        <w:t>、</w:t>
      </w:r>
      <w:r>
        <w:rPr>
          <w:rFonts w:hint="eastAsia" w:ascii="宋体" w:hAnsi="宋体" w:eastAsia="宋体" w:cs="宋体"/>
          <w:color w:val="auto"/>
          <w:sz w:val="28"/>
          <w:szCs w:val="28"/>
          <w:highlight w:val="none"/>
        </w:rPr>
        <w:t>（3）</w:t>
      </w:r>
      <w:r>
        <w:rPr>
          <w:rFonts w:hint="eastAsia" w:ascii="宋体" w:hAnsi="宋体" w:eastAsia="宋体" w:cs="宋体"/>
          <w:color w:val="auto"/>
          <w:spacing w:val="-3"/>
          <w:sz w:val="28"/>
          <w:szCs w:val="28"/>
          <w:highlight w:val="none"/>
        </w:rPr>
        <w:t>条内容完成的，承包人无条件返工处理，修</w:t>
      </w:r>
      <w:r>
        <w:rPr>
          <w:rFonts w:hint="eastAsia" w:ascii="宋体" w:hAnsi="宋体" w:eastAsia="宋体" w:cs="宋体"/>
          <w:color w:val="auto"/>
          <w:spacing w:val="-6"/>
          <w:sz w:val="28"/>
          <w:szCs w:val="28"/>
          <w:highlight w:val="none"/>
        </w:rPr>
        <w:t>复至工程质量要求并承担相关费用，并在发包人规定的时间内完成返工，否则发包人有权扣罚该分项</w:t>
      </w:r>
      <w:r>
        <w:rPr>
          <w:rFonts w:hint="eastAsia" w:ascii="宋体" w:hAnsi="宋体" w:eastAsia="宋体" w:cs="宋体"/>
          <w:color w:val="auto"/>
          <w:spacing w:val="-23"/>
          <w:sz w:val="28"/>
          <w:szCs w:val="28"/>
          <w:highlight w:val="none"/>
        </w:rPr>
        <w:t xml:space="preserve">工程 </w:t>
      </w:r>
      <w:r>
        <w:rPr>
          <w:rFonts w:hint="eastAsia" w:ascii="宋体" w:hAnsi="宋体" w:eastAsia="宋体" w:cs="宋体"/>
          <w:color w:val="auto"/>
          <w:sz w:val="28"/>
          <w:szCs w:val="28"/>
          <w:highlight w:val="none"/>
        </w:rPr>
        <w:t>10</w:t>
      </w:r>
      <w:r>
        <w:rPr>
          <w:rFonts w:hint="eastAsia" w:ascii="宋体" w:hAnsi="宋体" w:eastAsia="宋体" w:cs="宋体"/>
          <w:color w:val="auto"/>
          <w:spacing w:val="-3"/>
          <w:sz w:val="28"/>
          <w:szCs w:val="28"/>
          <w:highlight w:val="none"/>
        </w:rPr>
        <w:t>%的工程款作为处罚。</w:t>
      </w:r>
    </w:p>
    <w:p w14:paraId="5F3142E1">
      <w:pPr>
        <w:pStyle w:val="196"/>
        <w:pageBreakBefore w:val="0"/>
        <w:numPr>
          <w:ilvl w:val="0"/>
          <w:numId w:val="0"/>
        </w:numPr>
        <w:tabs>
          <w:tab w:val="left" w:pos="886"/>
        </w:tabs>
        <w:kinsoku/>
        <w:overflowPunct/>
        <w:topLinePunct w:val="0"/>
        <w:bidi w:val="0"/>
        <w:snapToGrid/>
        <w:spacing w:before="0" w:after="0" w:line="560" w:lineRule="exact"/>
        <w:ind w:leftChars="200"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6"/>
          <w:sz w:val="28"/>
          <w:szCs w:val="28"/>
          <w:highlight w:val="none"/>
          <w:lang w:val="en-US" w:eastAsia="zh-CN"/>
        </w:rPr>
        <w:t>(2)</w:t>
      </w:r>
      <w:r>
        <w:rPr>
          <w:rFonts w:hint="eastAsia" w:ascii="宋体" w:hAnsi="宋体" w:eastAsia="宋体" w:cs="宋体"/>
          <w:color w:val="auto"/>
          <w:spacing w:val="-6"/>
          <w:sz w:val="28"/>
          <w:szCs w:val="28"/>
          <w:highlight w:val="none"/>
        </w:rPr>
        <w:t xml:space="preserve">承包人有本合同通用条款第 </w:t>
      </w:r>
      <w:r>
        <w:rPr>
          <w:rFonts w:hint="eastAsia" w:ascii="宋体" w:hAnsi="宋体" w:eastAsia="宋体" w:cs="宋体"/>
          <w:color w:val="auto"/>
          <w:spacing w:val="-7"/>
          <w:sz w:val="28"/>
          <w:szCs w:val="28"/>
          <w:highlight w:val="none"/>
        </w:rPr>
        <w:t>16.2.1（6）</w:t>
      </w:r>
      <w:r>
        <w:rPr>
          <w:rFonts w:hint="eastAsia" w:ascii="宋体" w:hAnsi="宋体" w:eastAsia="宋体" w:cs="宋体"/>
          <w:color w:val="auto"/>
          <w:spacing w:val="-6"/>
          <w:sz w:val="28"/>
          <w:szCs w:val="28"/>
          <w:highlight w:val="none"/>
        </w:rPr>
        <w:t>条情形的，或经监理人检验认为修复质量不合格而承包</w:t>
      </w:r>
      <w:r>
        <w:rPr>
          <w:rFonts w:hint="eastAsia" w:ascii="宋体" w:hAnsi="宋体" w:eastAsia="宋体" w:cs="宋体"/>
          <w:color w:val="auto"/>
          <w:spacing w:val="-3"/>
          <w:sz w:val="28"/>
          <w:szCs w:val="28"/>
          <w:highlight w:val="none"/>
        </w:rPr>
        <w:t>人拒绝再进行修补的，发包人将扣除承包人全部质量保修金。</w:t>
      </w:r>
    </w:p>
    <w:p w14:paraId="4906471D">
      <w:pPr>
        <w:pStyle w:val="196"/>
        <w:pageBreakBefore w:val="0"/>
        <w:numPr>
          <w:ilvl w:val="0"/>
          <w:numId w:val="0"/>
        </w:numPr>
        <w:tabs>
          <w:tab w:val="left" w:pos="1104"/>
        </w:tabs>
        <w:kinsoku/>
        <w:overflowPunct/>
        <w:topLinePunct w:val="0"/>
        <w:bidi w:val="0"/>
        <w:snapToGrid/>
        <w:spacing w:before="0" w:after="0" w:line="560" w:lineRule="exact"/>
        <w:ind w:leftChars="200" w:right="48" w:rightChars="23"/>
        <w:jc w:val="both"/>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16.2.2</w:t>
      </w:r>
      <w:r>
        <w:rPr>
          <w:rFonts w:hint="eastAsia" w:ascii="宋体" w:hAnsi="宋体" w:eastAsia="宋体" w:cs="宋体"/>
          <w:color w:val="auto"/>
          <w:spacing w:val="-3"/>
          <w:sz w:val="28"/>
          <w:szCs w:val="28"/>
          <w:highlight w:val="none"/>
        </w:rPr>
        <w:t>因承包人违约解除合同</w:t>
      </w:r>
    </w:p>
    <w:p w14:paraId="0AE49495">
      <w:pPr>
        <w:pStyle w:val="19"/>
        <w:pageBreakBefore w:val="0"/>
        <w:kinsoku/>
        <w:overflowPunct/>
        <w:topLinePunct w:val="0"/>
        <w:bidi w:val="0"/>
        <w:snapToGrid/>
        <w:spacing w:before="1" w:line="560" w:lineRule="exact"/>
        <w:ind w:left="332" w:right="48" w:rightChars="2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关于承包人违约解除合同的特别约定：</w:t>
      </w:r>
      <w:r>
        <w:rPr>
          <w:rFonts w:hint="eastAsia" w:ascii="宋体" w:hAnsi="宋体" w:eastAsia="宋体" w:cs="宋体"/>
          <w:color w:val="auto"/>
          <w:sz w:val="28"/>
          <w:szCs w:val="28"/>
          <w:highlight w:val="none"/>
          <w:u w:val="single"/>
        </w:rPr>
        <w:t>承包人有违反以下情况之一的，发包人有权解除合同</w:t>
      </w:r>
      <w:r>
        <w:rPr>
          <w:rFonts w:hint="eastAsia" w:ascii="宋体" w:hAnsi="宋体" w:eastAsia="宋体" w:cs="宋体"/>
          <w:color w:val="auto"/>
          <w:sz w:val="28"/>
          <w:szCs w:val="28"/>
          <w:highlight w:val="none"/>
        </w:rPr>
        <w:t>。</w:t>
      </w:r>
    </w:p>
    <w:p w14:paraId="31155253">
      <w:pPr>
        <w:pStyle w:val="196"/>
        <w:pageBreakBefore w:val="0"/>
        <w:numPr>
          <w:ilvl w:val="0"/>
          <w:numId w:val="25"/>
        </w:numPr>
        <w:tabs>
          <w:tab w:val="left" w:pos="666"/>
        </w:tabs>
        <w:kinsoku/>
        <w:overflowPunct/>
        <w:topLinePunct w:val="0"/>
        <w:bidi w:val="0"/>
        <w:snapToGrid/>
        <w:spacing w:before="0" w:after="0" w:line="560" w:lineRule="exact"/>
        <w:ind w:left="332" w:right="48" w:rightChars="23" w:firstLine="0"/>
        <w:jc w:val="left"/>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承包人无正当理由不按开工通知的要求及时进场组织施工和不按签订协议书时商定的进度计划有效地开展施工准备，造成工期延误的；</w:t>
      </w:r>
    </w:p>
    <w:p w14:paraId="119494DA">
      <w:pPr>
        <w:pStyle w:val="196"/>
        <w:keepNext w:val="0"/>
        <w:keepLines w:val="0"/>
        <w:pageBreakBefore w:val="0"/>
        <w:widowControl w:val="0"/>
        <w:numPr>
          <w:ilvl w:val="0"/>
          <w:numId w:val="25"/>
        </w:numPr>
        <w:tabs>
          <w:tab w:val="left" w:pos="666"/>
        </w:tabs>
        <w:kinsoku/>
        <w:wordWrap/>
        <w:overflowPunct/>
        <w:topLinePunct w:val="0"/>
        <w:autoSpaceDE/>
        <w:autoSpaceDN/>
        <w:bidi w:val="0"/>
        <w:adjustRightInd/>
        <w:snapToGrid/>
        <w:spacing w:before="0" w:after="0" w:line="500" w:lineRule="exact"/>
        <w:ind w:left="332" w:right="48" w:rightChars="23"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承包人违反本合同通用条款第</w:t>
      </w:r>
      <w:r>
        <w:rPr>
          <w:rFonts w:hint="eastAsia" w:ascii="宋体" w:hAnsi="宋体" w:eastAsia="宋体" w:cs="宋体"/>
          <w:color w:val="auto"/>
          <w:sz w:val="28"/>
          <w:szCs w:val="28"/>
          <w:highlight w:val="none"/>
        </w:rPr>
        <w:t>3.5</w:t>
      </w:r>
      <w:r>
        <w:rPr>
          <w:rFonts w:hint="eastAsia" w:ascii="宋体" w:hAnsi="宋体" w:eastAsia="宋体" w:cs="宋体"/>
          <w:color w:val="auto"/>
          <w:spacing w:val="-10"/>
          <w:sz w:val="28"/>
          <w:szCs w:val="28"/>
          <w:highlight w:val="none"/>
        </w:rPr>
        <w:t xml:space="preserve"> 条规定私自将合同或合同的任何部分或任何权利转让给其他人， </w:t>
      </w:r>
      <w:r>
        <w:rPr>
          <w:rFonts w:hint="eastAsia" w:ascii="宋体" w:hAnsi="宋体" w:eastAsia="宋体" w:cs="宋体"/>
          <w:color w:val="auto"/>
          <w:spacing w:val="-4"/>
          <w:sz w:val="28"/>
          <w:szCs w:val="28"/>
          <w:highlight w:val="none"/>
        </w:rPr>
        <w:t>或私自将工程或工程的一部分分包出去的；</w:t>
      </w:r>
    </w:p>
    <w:p w14:paraId="3208592B">
      <w:pPr>
        <w:pStyle w:val="196"/>
        <w:keepNext w:val="0"/>
        <w:keepLines w:val="0"/>
        <w:pageBreakBefore w:val="0"/>
        <w:widowControl w:val="0"/>
        <w:numPr>
          <w:ilvl w:val="0"/>
          <w:numId w:val="25"/>
        </w:numPr>
        <w:tabs>
          <w:tab w:val="left" w:pos="666"/>
        </w:tabs>
        <w:kinsoku/>
        <w:wordWrap/>
        <w:overflowPunct/>
        <w:topLinePunct w:val="0"/>
        <w:autoSpaceDE/>
        <w:autoSpaceDN/>
        <w:bidi w:val="0"/>
        <w:adjustRightInd/>
        <w:snapToGrid/>
        <w:spacing w:before="0" w:after="0" w:line="500" w:lineRule="exact"/>
        <w:ind w:left="332" w:right="48" w:rightChars="23"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未经监理人批准，承包人私自将已按投标文件承诺进入工地的工程设备、施工设备、临时工程或材料撤离工地的；</w:t>
      </w:r>
    </w:p>
    <w:p w14:paraId="6994B7A9">
      <w:pPr>
        <w:pStyle w:val="196"/>
        <w:keepNext w:val="0"/>
        <w:keepLines w:val="0"/>
        <w:pageBreakBefore w:val="0"/>
        <w:widowControl w:val="0"/>
        <w:numPr>
          <w:ilvl w:val="0"/>
          <w:numId w:val="25"/>
        </w:numPr>
        <w:tabs>
          <w:tab w:val="left" w:pos="666"/>
        </w:tabs>
        <w:kinsoku/>
        <w:wordWrap/>
        <w:overflowPunct/>
        <w:topLinePunct w:val="0"/>
        <w:autoSpaceDE/>
        <w:autoSpaceDN/>
        <w:bidi w:val="0"/>
        <w:adjustRightInd/>
        <w:snapToGrid/>
        <w:spacing w:before="0" w:after="0" w:line="500" w:lineRule="exact"/>
        <w:ind w:left="332" w:right="48" w:rightChars="23"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由于承包人原因拒绝按合同进度计划及时完成合同规定的工程，而又未采取有效措施赶上进度， 造成工期延误的；</w:t>
      </w:r>
    </w:p>
    <w:p w14:paraId="44F52736">
      <w:pPr>
        <w:pStyle w:val="196"/>
        <w:keepNext w:val="0"/>
        <w:keepLines w:val="0"/>
        <w:pageBreakBefore w:val="0"/>
        <w:widowControl w:val="0"/>
        <w:numPr>
          <w:ilvl w:val="0"/>
          <w:numId w:val="25"/>
        </w:numPr>
        <w:tabs>
          <w:tab w:val="left" w:pos="666"/>
        </w:tabs>
        <w:kinsoku/>
        <w:wordWrap/>
        <w:overflowPunct/>
        <w:topLinePunct w:val="0"/>
        <w:autoSpaceDE/>
        <w:autoSpaceDN/>
        <w:bidi w:val="0"/>
        <w:adjustRightInd/>
        <w:snapToGrid/>
        <w:spacing w:before="0" w:after="0" w:line="500" w:lineRule="exact"/>
        <w:ind w:left="332" w:right="48" w:rightChars="23"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承包人否认合同有效或拒绝履行合同规定的承包人义务，或由于法律、财务等原因导致承包人无法继续履行或实质上已停止履行合同的义务的；</w:t>
      </w:r>
    </w:p>
    <w:p w14:paraId="3C7106DF">
      <w:pPr>
        <w:pStyle w:val="196"/>
        <w:keepNext w:val="0"/>
        <w:keepLines w:val="0"/>
        <w:pageBreakBefore w:val="0"/>
        <w:widowControl w:val="0"/>
        <w:numPr>
          <w:ilvl w:val="0"/>
          <w:numId w:val="25"/>
        </w:numPr>
        <w:tabs>
          <w:tab w:val="left" w:pos="666"/>
        </w:tabs>
        <w:kinsoku/>
        <w:wordWrap/>
        <w:overflowPunct/>
        <w:topLinePunct w:val="0"/>
        <w:autoSpaceDE/>
        <w:autoSpaceDN/>
        <w:bidi w:val="0"/>
        <w:adjustRightInd/>
        <w:snapToGrid/>
        <w:spacing w:before="0" w:after="0" w:line="500" w:lineRule="exact"/>
        <w:ind w:left="332" w:right="48" w:rightChars="23" w:firstLine="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合同签订之日起十五日内，承包人无法按合同规定及投标文件的承诺进场经监理工程师认可的全部人员和机械的。</w:t>
      </w:r>
    </w:p>
    <w:p w14:paraId="57B9D883">
      <w:pPr>
        <w:pStyle w:val="19"/>
        <w:keepNext w:val="0"/>
        <w:keepLines w:val="0"/>
        <w:pageBreakBefore w:val="0"/>
        <w:widowControl w:val="0"/>
        <w:tabs>
          <w:tab w:val="left" w:pos="4844"/>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人继</w:t>
      </w:r>
      <w:r>
        <w:rPr>
          <w:rFonts w:hint="eastAsia" w:ascii="宋体" w:hAnsi="宋体" w:eastAsia="宋体" w:cs="宋体"/>
          <w:color w:val="auto"/>
          <w:spacing w:val="-3"/>
          <w:sz w:val="28"/>
          <w:szCs w:val="28"/>
          <w:highlight w:val="none"/>
        </w:rPr>
        <w:t>续</w:t>
      </w:r>
      <w:r>
        <w:rPr>
          <w:rFonts w:hint="eastAsia" w:ascii="宋体" w:hAnsi="宋体" w:eastAsia="宋体" w:cs="宋体"/>
          <w:color w:val="auto"/>
          <w:sz w:val="28"/>
          <w:szCs w:val="28"/>
          <w:highlight w:val="none"/>
        </w:rPr>
        <w:t>使用</w:t>
      </w:r>
      <w:r>
        <w:rPr>
          <w:rFonts w:hint="eastAsia" w:ascii="宋体" w:hAnsi="宋体" w:eastAsia="宋体" w:cs="宋体"/>
          <w:color w:val="auto"/>
          <w:spacing w:val="-3"/>
          <w:sz w:val="28"/>
          <w:szCs w:val="28"/>
          <w:highlight w:val="none"/>
        </w:rPr>
        <w:t>承</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在</w:t>
      </w:r>
      <w:r>
        <w:rPr>
          <w:rFonts w:hint="eastAsia" w:ascii="宋体" w:hAnsi="宋体" w:eastAsia="宋体" w:cs="宋体"/>
          <w:color w:val="auto"/>
          <w:sz w:val="28"/>
          <w:szCs w:val="28"/>
          <w:highlight w:val="none"/>
        </w:rPr>
        <w:t>施工</w:t>
      </w:r>
      <w:r>
        <w:rPr>
          <w:rFonts w:hint="eastAsia" w:ascii="宋体" w:hAnsi="宋体" w:eastAsia="宋体" w:cs="宋体"/>
          <w:color w:val="auto"/>
          <w:spacing w:val="-3"/>
          <w:sz w:val="28"/>
          <w:szCs w:val="28"/>
          <w:highlight w:val="none"/>
        </w:rPr>
        <w:t>现</w:t>
      </w:r>
      <w:r>
        <w:rPr>
          <w:rFonts w:hint="eastAsia" w:ascii="宋体" w:hAnsi="宋体" w:eastAsia="宋体" w:cs="宋体"/>
          <w:color w:val="auto"/>
          <w:sz w:val="28"/>
          <w:szCs w:val="28"/>
          <w:highlight w:val="none"/>
        </w:rPr>
        <w:t>场的</w:t>
      </w:r>
      <w:r>
        <w:rPr>
          <w:rFonts w:hint="eastAsia" w:ascii="宋体" w:hAnsi="宋体" w:eastAsia="宋体" w:cs="宋体"/>
          <w:color w:val="auto"/>
          <w:spacing w:val="-3"/>
          <w:sz w:val="28"/>
          <w:szCs w:val="28"/>
          <w:highlight w:val="none"/>
        </w:rPr>
        <w:t>材</w:t>
      </w:r>
      <w:r>
        <w:rPr>
          <w:rFonts w:hint="eastAsia" w:ascii="宋体" w:hAnsi="宋体" w:eastAsia="宋体" w:cs="宋体"/>
          <w:color w:val="auto"/>
          <w:sz w:val="28"/>
          <w:szCs w:val="28"/>
          <w:highlight w:val="none"/>
        </w:rPr>
        <w:t>料</w:t>
      </w:r>
      <w:r>
        <w:rPr>
          <w:rFonts w:hint="eastAsia" w:ascii="宋体" w:hAnsi="宋体" w:eastAsia="宋体" w:cs="宋体"/>
          <w:color w:val="auto"/>
          <w:spacing w:val="-13"/>
          <w:sz w:val="28"/>
          <w:szCs w:val="28"/>
          <w:highlight w:val="none"/>
        </w:rPr>
        <w:t>、</w:t>
      </w:r>
      <w:r>
        <w:rPr>
          <w:rFonts w:hint="eastAsia" w:ascii="宋体" w:hAnsi="宋体" w:eastAsia="宋体" w:cs="宋体"/>
          <w:color w:val="auto"/>
          <w:sz w:val="28"/>
          <w:szCs w:val="28"/>
          <w:highlight w:val="none"/>
        </w:rPr>
        <w:t>设</w:t>
      </w:r>
      <w:r>
        <w:rPr>
          <w:rFonts w:hint="eastAsia" w:ascii="宋体" w:hAnsi="宋体" w:eastAsia="宋体" w:cs="宋体"/>
          <w:color w:val="auto"/>
          <w:spacing w:val="-3"/>
          <w:sz w:val="28"/>
          <w:szCs w:val="28"/>
          <w:highlight w:val="none"/>
        </w:rPr>
        <w:t>备</w:t>
      </w:r>
      <w:r>
        <w:rPr>
          <w:rFonts w:hint="eastAsia" w:ascii="宋体" w:hAnsi="宋体" w:eastAsia="宋体" w:cs="宋体"/>
          <w:color w:val="auto"/>
          <w:spacing w:val="-13"/>
          <w:sz w:val="28"/>
          <w:szCs w:val="28"/>
          <w:highlight w:val="none"/>
        </w:rPr>
        <w:t>、</w:t>
      </w:r>
      <w:r>
        <w:rPr>
          <w:rFonts w:hint="eastAsia" w:ascii="宋体" w:hAnsi="宋体" w:eastAsia="宋体" w:cs="宋体"/>
          <w:color w:val="auto"/>
          <w:sz w:val="28"/>
          <w:szCs w:val="28"/>
          <w:highlight w:val="none"/>
        </w:rPr>
        <w:t>临</w:t>
      </w:r>
      <w:r>
        <w:rPr>
          <w:rFonts w:hint="eastAsia" w:ascii="宋体" w:hAnsi="宋体" w:eastAsia="宋体" w:cs="宋体"/>
          <w:color w:val="auto"/>
          <w:spacing w:val="-3"/>
          <w:sz w:val="28"/>
          <w:szCs w:val="28"/>
          <w:highlight w:val="none"/>
        </w:rPr>
        <w:t>时</w:t>
      </w:r>
      <w:r>
        <w:rPr>
          <w:rFonts w:hint="eastAsia" w:ascii="宋体" w:hAnsi="宋体" w:eastAsia="宋体" w:cs="宋体"/>
          <w:color w:val="auto"/>
          <w:sz w:val="28"/>
          <w:szCs w:val="28"/>
          <w:highlight w:val="none"/>
        </w:rPr>
        <w:t>工</w:t>
      </w:r>
      <w:r>
        <w:rPr>
          <w:rFonts w:hint="eastAsia" w:ascii="宋体" w:hAnsi="宋体" w:eastAsia="宋体" w:cs="宋体"/>
          <w:color w:val="auto"/>
          <w:spacing w:val="-3"/>
          <w:sz w:val="28"/>
          <w:szCs w:val="28"/>
          <w:highlight w:val="none"/>
        </w:rPr>
        <w:t>程</w:t>
      </w:r>
      <w:r>
        <w:rPr>
          <w:rFonts w:hint="eastAsia" w:ascii="宋体" w:hAnsi="宋体" w:eastAsia="宋体" w:cs="宋体"/>
          <w:color w:val="auto"/>
          <w:spacing w:val="-13"/>
          <w:sz w:val="28"/>
          <w:szCs w:val="28"/>
          <w:highlight w:val="none"/>
        </w:rPr>
        <w:t>、</w:t>
      </w: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人文</w:t>
      </w:r>
      <w:r>
        <w:rPr>
          <w:rFonts w:hint="eastAsia" w:ascii="宋体" w:hAnsi="宋体" w:eastAsia="宋体" w:cs="宋体"/>
          <w:color w:val="auto"/>
          <w:spacing w:val="-3"/>
          <w:sz w:val="28"/>
          <w:szCs w:val="28"/>
          <w:highlight w:val="none"/>
        </w:rPr>
        <w:t>件</w:t>
      </w:r>
      <w:r>
        <w:rPr>
          <w:rFonts w:hint="eastAsia" w:ascii="宋体" w:hAnsi="宋体" w:eastAsia="宋体" w:cs="宋体"/>
          <w:color w:val="auto"/>
          <w:sz w:val="28"/>
          <w:szCs w:val="28"/>
          <w:highlight w:val="none"/>
        </w:rPr>
        <w:t>和由</w:t>
      </w:r>
      <w:r>
        <w:rPr>
          <w:rFonts w:hint="eastAsia" w:ascii="宋体" w:hAnsi="宋体" w:eastAsia="宋体" w:cs="宋体"/>
          <w:color w:val="auto"/>
          <w:spacing w:val="-3"/>
          <w:sz w:val="28"/>
          <w:szCs w:val="28"/>
          <w:highlight w:val="none"/>
        </w:rPr>
        <w:t>承</w:t>
      </w:r>
      <w:r>
        <w:rPr>
          <w:rFonts w:hint="eastAsia" w:ascii="宋体" w:hAnsi="宋体" w:eastAsia="宋体" w:cs="宋体"/>
          <w:color w:val="auto"/>
          <w:sz w:val="28"/>
          <w:szCs w:val="28"/>
          <w:highlight w:val="none"/>
        </w:rPr>
        <w:t>包人</w:t>
      </w:r>
      <w:r>
        <w:rPr>
          <w:rFonts w:hint="eastAsia" w:ascii="宋体" w:hAnsi="宋体" w:eastAsia="宋体" w:cs="宋体"/>
          <w:color w:val="auto"/>
          <w:spacing w:val="-3"/>
          <w:sz w:val="28"/>
          <w:szCs w:val="28"/>
          <w:highlight w:val="none"/>
        </w:rPr>
        <w:t>或</w:t>
      </w:r>
      <w:r>
        <w:rPr>
          <w:rFonts w:hint="eastAsia" w:ascii="宋体" w:hAnsi="宋体" w:eastAsia="宋体" w:cs="宋体"/>
          <w:color w:val="auto"/>
          <w:sz w:val="28"/>
          <w:szCs w:val="28"/>
          <w:highlight w:val="none"/>
        </w:rPr>
        <w:t>以其</w:t>
      </w:r>
      <w:r>
        <w:rPr>
          <w:rFonts w:hint="eastAsia" w:ascii="宋体" w:hAnsi="宋体" w:eastAsia="宋体" w:cs="宋体"/>
          <w:color w:val="auto"/>
          <w:spacing w:val="-3"/>
          <w:sz w:val="28"/>
          <w:szCs w:val="28"/>
          <w:highlight w:val="none"/>
        </w:rPr>
        <w:t>名</w:t>
      </w:r>
      <w:r>
        <w:rPr>
          <w:rFonts w:hint="eastAsia" w:ascii="宋体" w:hAnsi="宋体" w:eastAsia="宋体" w:cs="宋体"/>
          <w:color w:val="auto"/>
          <w:sz w:val="28"/>
          <w:szCs w:val="28"/>
          <w:highlight w:val="none"/>
        </w:rPr>
        <w:t>义编制的</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他文</w:t>
      </w:r>
      <w:r>
        <w:rPr>
          <w:rFonts w:hint="eastAsia" w:ascii="宋体" w:hAnsi="宋体" w:eastAsia="宋体" w:cs="宋体"/>
          <w:color w:val="auto"/>
          <w:spacing w:val="-3"/>
          <w:sz w:val="28"/>
          <w:szCs w:val="28"/>
          <w:highlight w:val="none"/>
        </w:rPr>
        <w:t>件</w:t>
      </w:r>
      <w:r>
        <w:rPr>
          <w:rFonts w:hint="eastAsia" w:ascii="宋体" w:hAnsi="宋体" w:eastAsia="宋体" w:cs="宋体"/>
          <w:color w:val="auto"/>
          <w:sz w:val="28"/>
          <w:szCs w:val="28"/>
          <w:highlight w:val="none"/>
        </w:rPr>
        <w:t>的费</w:t>
      </w:r>
      <w:r>
        <w:rPr>
          <w:rFonts w:hint="eastAsia" w:ascii="宋体" w:hAnsi="宋体" w:eastAsia="宋体" w:cs="宋体"/>
          <w:color w:val="auto"/>
          <w:spacing w:val="-3"/>
          <w:sz w:val="28"/>
          <w:szCs w:val="28"/>
          <w:highlight w:val="none"/>
        </w:rPr>
        <w:t>用</w:t>
      </w:r>
      <w:r>
        <w:rPr>
          <w:rFonts w:hint="eastAsia" w:ascii="宋体" w:hAnsi="宋体" w:eastAsia="宋体" w:cs="宋体"/>
          <w:color w:val="auto"/>
          <w:sz w:val="28"/>
          <w:szCs w:val="28"/>
          <w:highlight w:val="none"/>
        </w:rPr>
        <w:t>承担</w:t>
      </w:r>
      <w:r>
        <w:rPr>
          <w:rFonts w:hint="eastAsia" w:ascii="宋体" w:hAnsi="宋体" w:eastAsia="宋体" w:cs="宋体"/>
          <w:color w:val="auto"/>
          <w:spacing w:val="-3"/>
          <w:sz w:val="28"/>
          <w:szCs w:val="28"/>
          <w:highlight w:val="none"/>
        </w:rPr>
        <w:t>方</w:t>
      </w:r>
      <w:r>
        <w:rPr>
          <w:rFonts w:hint="eastAsia" w:ascii="宋体" w:hAnsi="宋体" w:eastAsia="宋体" w:cs="宋体"/>
          <w:color w:val="auto"/>
          <w:sz w:val="28"/>
          <w:szCs w:val="28"/>
          <w:highlight w:val="none"/>
        </w:rPr>
        <w:t>式：</w:t>
      </w:r>
    </w:p>
    <w:p w14:paraId="33788265">
      <w:pPr>
        <w:pStyle w:val="19"/>
        <w:keepNext w:val="0"/>
        <w:keepLines w:val="0"/>
        <w:pageBreakBefore w:val="0"/>
        <w:widowControl w:val="0"/>
        <w:tabs>
          <w:tab w:val="left" w:pos="4844"/>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在合同履行期内，承包人逾期交付施工成果超过60天的，发包人有权解除合同并追究承包人按本合同总价款（</w:t>
      </w:r>
      <w:r>
        <w:rPr>
          <w:rFonts w:hint="eastAsia" w:ascii="宋体" w:hAnsi="宋体" w:eastAsia="宋体" w:cs="宋体"/>
          <w:color w:val="auto"/>
          <w:sz w:val="28"/>
          <w:szCs w:val="28"/>
          <w:highlight w:val="none"/>
          <w:u w:val="single"/>
          <w:lang w:val="en-US" w:eastAsia="zh-CN"/>
        </w:rPr>
        <w:t xml:space="preserve"> 20  </w:t>
      </w:r>
      <w:r>
        <w:rPr>
          <w:rFonts w:hint="eastAsia" w:ascii="宋体" w:hAnsi="宋体" w:eastAsia="宋体" w:cs="宋体"/>
          <w:color w:val="auto"/>
          <w:sz w:val="28"/>
          <w:szCs w:val="28"/>
          <w:highlight w:val="none"/>
          <w:lang w:val="en-US" w:eastAsia="zh-CN"/>
        </w:rPr>
        <w:t>%）违约金的承担违约责任。</w:t>
      </w:r>
    </w:p>
    <w:p w14:paraId="57D6FDB1">
      <w:pPr>
        <w:keepNext w:val="0"/>
        <w:keepLines w:val="0"/>
        <w:pageBreakBefore w:val="0"/>
        <w:widowControl w:val="0"/>
        <w:numPr>
          <w:ilvl w:val="0"/>
          <w:numId w:val="21"/>
        </w:numPr>
        <w:tabs>
          <w:tab w:val="left" w:pos="777"/>
        </w:tabs>
        <w:kinsoku/>
        <w:wordWrap/>
        <w:overflowPunct/>
        <w:topLinePunct w:val="0"/>
        <w:autoSpaceDE/>
        <w:autoSpaceDN/>
        <w:bidi w:val="0"/>
        <w:adjustRightInd/>
        <w:snapToGrid/>
        <w:spacing w:before="0" w:line="500" w:lineRule="exact"/>
        <w:ind w:left="776" w:right="48" w:rightChars="23" w:hanging="445"/>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不可抗力</w:t>
      </w:r>
    </w:p>
    <w:p w14:paraId="383478BF">
      <w:pPr>
        <w:keepNext w:val="0"/>
        <w:keepLines w:val="0"/>
        <w:pageBreakBefore w:val="0"/>
        <w:widowControl w:val="0"/>
        <w:numPr>
          <w:ilvl w:val="1"/>
          <w:numId w:val="21"/>
        </w:numPr>
        <w:tabs>
          <w:tab w:val="left" w:pos="888"/>
        </w:tabs>
        <w:kinsoku/>
        <w:wordWrap/>
        <w:overflowPunct/>
        <w:topLinePunct w:val="0"/>
        <w:autoSpaceDE/>
        <w:autoSpaceDN/>
        <w:bidi w:val="0"/>
        <w:adjustRightInd/>
        <w:snapToGrid/>
        <w:spacing w:before="0" w:line="500" w:lineRule="exact"/>
        <w:ind w:left="887" w:right="48" w:rightChars="23" w:hanging="556"/>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不可抗力的确认</w:t>
      </w:r>
    </w:p>
    <w:p w14:paraId="18ACD58E">
      <w:pPr>
        <w:pStyle w:val="19"/>
        <w:keepNext w:val="0"/>
        <w:keepLines w:val="0"/>
        <w:pageBreakBefore w:val="0"/>
        <w:widowControl w:val="0"/>
        <w:tabs>
          <w:tab w:val="left" w:pos="8694"/>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除</w:t>
      </w:r>
      <w:r>
        <w:rPr>
          <w:rFonts w:hint="eastAsia" w:ascii="宋体" w:hAnsi="宋体" w:eastAsia="宋体" w:cs="宋体"/>
          <w:color w:val="auto"/>
          <w:spacing w:val="-3"/>
          <w:sz w:val="28"/>
          <w:szCs w:val="28"/>
          <w:highlight w:val="none"/>
        </w:rPr>
        <w:t>通</w:t>
      </w:r>
      <w:r>
        <w:rPr>
          <w:rFonts w:hint="eastAsia" w:ascii="宋体" w:hAnsi="宋体" w:eastAsia="宋体" w:cs="宋体"/>
          <w:color w:val="auto"/>
          <w:sz w:val="28"/>
          <w:szCs w:val="28"/>
          <w:highlight w:val="none"/>
        </w:rPr>
        <w:t>用合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条款</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定的</w:t>
      </w:r>
      <w:r>
        <w:rPr>
          <w:rFonts w:hint="eastAsia" w:ascii="宋体" w:hAnsi="宋体" w:eastAsia="宋体" w:cs="宋体"/>
          <w:color w:val="auto"/>
          <w:spacing w:val="-3"/>
          <w:sz w:val="28"/>
          <w:szCs w:val="28"/>
          <w:highlight w:val="none"/>
        </w:rPr>
        <w:t>不</w:t>
      </w:r>
      <w:r>
        <w:rPr>
          <w:rFonts w:hint="eastAsia" w:ascii="宋体" w:hAnsi="宋体" w:eastAsia="宋体" w:cs="宋体"/>
          <w:color w:val="auto"/>
          <w:sz w:val="28"/>
          <w:szCs w:val="28"/>
          <w:highlight w:val="none"/>
        </w:rPr>
        <w:t>可抗</w:t>
      </w:r>
      <w:r>
        <w:rPr>
          <w:rFonts w:hint="eastAsia" w:ascii="宋体" w:hAnsi="宋体" w:eastAsia="宋体" w:cs="宋体"/>
          <w:color w:val="auto"/>
          <w:spacing w:val="-3"/>
          <w:sz w:val="28"/>
          <w:szCs w:val="28"/>
          <w:highlight w:val="none"/>
        </w:rPr>
        <w:t>力</w:t>
      </w:r>
      <w:r>
        <w:rPr>
          <w:rFonts w:hint="eastAsia" w:ascii="宋体" w:hAnsi="宋体" w:eastAsia="宋体" w:cs="宋体"/>
          <w:color w:val="auto"/>
          <w:sz w:val="28"/>
          <w:szCs w:val="28"/>
          <w:highlight w:val="none"/>
        </w:rPr>
        <w:t>事件</w:t>
      </w:r>
      <w:r>
        <w:rPr>
          <w:rFonts w:hint="eastAsia" w:ascii="宋体" w:hAnsi="宋体" w:eastAsia="宋体" w:cs="宋体"/>
          <w:color w:val="auto"/>
          <w:spacing w:val="-3"/>
          <w:sz w:val="28"/>
          <w:szCs w:val="28"/>
          <w:highlight w:val="none"/>
        </w:rPr>
        <w:t>之</w:t>
      </w:r>
      <w:r>
        <w:rPr>
          <w:rFonts w:hint="eastAsia" w:ascii="宋体" w:hAnsi="宋体" w:eastAsia="宋体" w:cs="宋体"/>
          <w:color w:val="auto"/>
          <w:sz w:val="28"/>
          <w:szCs w:val="28"/>
          <w:highlight w:val="none"/>
        </w:rPr>
        <w:t>外，</w:t>
      </w:r>
      <w:r>
        <w:rPr>
          <w:rFonts w:hint="eastAsia" w:ascii="宋体" w:hAnsi="宋体" w:eastAsia="宋体" w:cs="宋体"/>
          <w:color w:val="auto"/>
          <w:spacing w:val="-3"/>
          <w:sz w:val="28"/>
          <w:szCs w:val="28"/>
          <w:highlight w:val="none"/>
        </w:rPr>
        <w:t>视</w:t>
      </w:r>
      <w:r>
        <w:rPr>
          <w:rFonts w:hint="eastAsia" w:ascii="宋体" w:hAnsi="宋体" w:eastAsia="宋体" w:cs="宋体"/>
          <w:color w:val="auto"/>
          <w:sz w:val="28"/>
          <w:szCs w:val="28"/>
          <w:highlight w:val="none"/>
        </w:rPr>
        <w:t>为不</w:t>
      </w:r>
      <w:r>
        <w:rPr>
          <w:rFonts w:hint="eastAsia" w:ascii="宋体" w:hAnsi="宋体" w:eastAsia="宋体" w:cs="宋体"/>
          <w:color w:val="auto"/>
          <w:spacing w:val="-3"/>
          <w:sz w:val="28"/>
          <w:szCs w:val="28"/>
          <w:highlight w:val="none"/>
        </w:rPr>
        <w:t>可</w:t>
      </w:r>
      <w:r>
        <w:rPr>
          <w:rFonts w:hint="eastAsia" w:ascii="宋体" w:hAnsi="宋体" w:eastAsia="宋体" w:cs="宋体"/>
          <w:color w:val="auto"/>
          <w:sz w:val="28"/>
          <w:szCs w:val="28"/>
          <w:highlight w:val="none"/>
        </w:rPr>
        <w:t>抗力</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其他</w:t>
      </w:r>
      <w:r>
        <w:rPr>
          <w:rFonts w:hint="eastAsia" w:ascii="宋体" w:hAnsi="宋体" w:eastAsia="宋体" w:cs="宋体"/>
          <w:color w:val="auto"/>
          <w:spacing w:val="-3"/>
          <w:sz w:val="28"/>
          <w:szCs w:val="28"/>
          <w:highlight w:val="none"/>
        </w:rPr>
        <w:t>情</w:t>
      </w:r>
      <w:r>
        <w:rPr>
          <w:rFonts w:hint="eastAsia" w:ascii="宋体" w:hAnsi="宋体" w:eastAsia="宋体" w:cs="宋体"/>
          <w:color w:val="auto"/>
          <w:sz w:val="28"/>
          <w:szCs w:val="28"/>
          <w:highlight w:val="none"/>
        </w:rPr>
        <w:t>形：</w:t>
      </w:r>
      <w:r>
        <w:rPr>
          <w:rFonts w:hint="eastAsia" w:ascii="宋体" w:hAnsi="宋体" w:eastAsia="宋体" w:cs="宋体"/>
          <w:color w:val="auto"/>
          <w:sz w:val="28"/>
          <w:szCs w:val="28"/>
          <w:highlight w:val="none"/>
          <w:u w:val="single"/>
          <w:lang w:val="en-US" w:eastAsia="zh-CN"/>
        </w:rPr>
        <w:t>/</w:t>
      </w:r>
    </w:p>
    <w:p w14:paraId="6369BC6B">
      <w:pPr>
        <w:keepNext w:val="0"/>
        <w:keepLines w:val="0"/>
        <w:pageBreakBefore w:val="0"/>
        <w:widowControl w:val="0"/>
        <w:kinsoku/>
        <w:wordWrap/>
        <w:overflowPunct/>
        <w:topLinePunct w:val="0"/>
        <w:autoSpaceDE/>
        <w:autoSpaceDN/>
        <w:bidi w:val="0"/>
        <w:adjustRightInd/>
        <w:snapToGrid/>
        <w:spacing w:before="50" w:line="500" w:lineRule="exact"/>
        <w:ind w:left="332" w:right="48" w:rightChars="23"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17.4 因不可抗力解除合同</w:t>
      </w:r>
    </w:p>
    <w:p w14:paraId="1A9EC2A3">
      <w:pPr>
        <w:pStyle w:val="19"/>
        <w:keepNext w:val="0"/>
        <w:keepLines w:val="0"/>
        <w:pageBreakBefore w:val="0"/>
        <w:widowControl w:val="0"/>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合同解除后，发包人应在商定或确定发包人应支付款项后天内完成款项的支付。</w:t>
      </w:r>
    </w:p>
    <w:p w14:paraId="5F597365">
      <w:pPr>
        <w:keepNext w:val="0"/>
        <w:keepLines w:val="0"/>
        <w:pageBreakBefore w:val="0"/>
        <w:widowControl w:val="0"/>
        <w:numPr>
          <w:ilvl w:val="0"/>
          <w:numId w:val="21"/>
        </w:numPr>
        <w:tabs>
          <w:tab w:val="left" w:pos="777"/>
        </w:tabs>
        <w:kinsoku/>
        <w:wordWrap/>
        <w:overflowPunct/>
        <w:topLinePunct w:val="0"/>
        <w:autoSpaceDE/>
        <w:autoSpaceDN/>
        <w:bidi w:val="0"/>
        <w:adjustRightInd/>
        <w:snapToGrid/>
        <w:spacing w:before="0" w:line="500" w:lineRule="exact"/>
        <w:ind w:left="776" w:right="48" w:rightChars="23" w:hanging="445"/>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保险</w:t>
      </w:r>
    </w:p>
    <w:p w14:paraId="09B0C1F9">
      <w:pPr>
        <w:keepNext w:val="0"/>
        <w:keepLines w:val="0"/>
        <w:pageBreakBefore w:val="0"/>
        <w:widowControl w:val="0"/>
        <w:numPr>
          <w:ilvl w:val="1"/>
          <w:numId w:val="21"/>
        </w:numPr>
        <w:tabs>
          <w:tab w:val="left" w:pos="888"/>
        </w:tabs>
        <w:kinsoku/>
        <w:wordWrap/>
        <w:overflowPunct/>
        <w:topLinePunct w:val="0"/>
        <w:autoSpaceDE/>
        <w:autoSpaceDN/>
        <w:bidi w:val="0"/>
        <w:adjustRightInd/>
        <w:snapToGrid/>
        <w:spacing w:before="1" w:line="500" w:lineRule="exact"/>
        <w:ind w:left="887" w:right="48" w:rightChars="23" w:hanging="556"/>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工程保险</w:t>
      </w:r>
    </w:p>
    <w:p w14:paraId="0B6E16E2">
      <w:pPr>
        <w:pStyle w:val="19"/>
        <w:keepNext w:val="0"/>
        <w:keepLines w:val="0"/>
        <w:pageBreakBefore w:val="0"/>
        <w:widowControl w:val="0"/>
        <w:tabs>
          <w:tab w:val="left" w:pos="4292"/>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工程</w:t>
      </w:r>
      <w:r>
        <w:rPr>
          <w:rFonts w:hint="eastAsia" w:ascii="宋体" w:hAnsi="宋体" w:eastAsia="宋体" w:cs="宋体"/>
          <w:color w:val="auto"/>
          <w:spacing w:val="-3"/>
          <w:sz w:val="28"/>
          <w:szCs w:val="28"/>
          <w:highlight w:val="none"/>
        </w:rPr>
        <w:t>保</w:t>
      </w:r>
      <w:r>
        <w:rPr>
          <w:rFonts w:hint="eastAsia" w:ascii="宋体" w:hAnsi="宋体" w:eastAsia="宋体" w:cs="宋体"/>
          <w:color w:val="auto"/>
          <w:sz w:val="28"/>
          <w:szCs w:val="28"/>
          <w:highlight w:val="none"/>
        </w:rPr>
        <w:t>险的</w:t>
      </w:r>
      <w:r>
        <w:rPr>
          <w:rFonts w:hint="eastAsia" w:ascii="宋体" w:hAnsi="宋体" w:eastAsia="宋体" w:cs="宋体"/>
          <w:color w:val="auto"/>
          <w:spacing w:val="-3"/>
          <w:sz w:val="28"/>
          <w:szCs w:val="28"/>
          <w:highlight w:val="none"/>
        </w:rPr>
        <w:t>特</w:t>
      </w:r>
      <w:r>
        <w:rPr>
          <w:rFonts w:hint="eastAsia" w:ascii="宋体" w:hAnsi="宋体" w:eastAsia="宋体" w:cs="宋体"/>
          <w:color w:val="auto"/>
          <w:sz w:val="28"/>
          <w:szCs w:val="28"/>
          <w:highlight w:val="none"/>
        </w:rPr>
        <w:t>别约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1A268F81">
      <w:pPr>
        <w:keepNext w:val="0"/>
        <w:keepLines w:val="0"/>
        <w:pageBreakBefore w:val="0"/>
        <w:widowControl w:val="0"/>
        <w:kinsoku/>
        <w:wordWrap/>
        <w:overflowPunct/>
        <w:topLinePunct w:val="0"/>
        <w:autoSpaceDE/>
        <w:autoSpaceDN/>
        <w:bidi w:val="0"/>
        <w:adjustRightInd/>
        <w:snapToGrid/>
        <w:spacing w:before="191" w:line="500" w:lineRule="exact"/>
        <w:ind w:left="332" w:right="48" w:rightChars="23"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18.3 其他保险</w:t>
      </w:r>
    </w:p>
    <w:p w14:paraId="7FF6AE5C">
      <w:pPr>
        <w:pStyle w:val="19"/>
        <w:keepNext w:val="0"/>
        <w:keepLines w:val="0"/>
        <w:pageBreakBefore w:val="0"/>
        <w:widowControl w:val="0"/>
        <w:tabs>
          <w:tab w:val="left" w:pos="3963"/>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其他</w:t>
      </w:r>
      <w:r>
        <w:rPr>
          <w:rFonts w:hint="eastAsia" w:ascii="宋体" w:hAnsi="宋体" w:eastAsia="宋体" w:cs="宋体"/>
          <w:color w:val="auto"/>
          <w:spacing w:val="-3"/>
          <w:sz w:val="28"/>
          <w:szCs w:val="28"/>
          <w:highlight w:val="none"/>
        </w:rPr>
        <w:t>保</w:t>
      </w:r>
      <w:r>
        <w:rPr>
          <w:rFonts w:hint="eastAsia" w:ascii="宋体" w:hAnsi="宋体" w:eastAsia="宋体" w:cs="宋体"/>
          <w:color w:val="auto"/>
          <w:sz w:val="28"/>
          <w:szCs w:val="28"/>
          <w:highlight w:val="none"/>
        </w:rPr>
        <w:t>险的</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r>
        <w:rPr>
          <w:rFonts w:hint="eastAsia" w:ascii="宋体" w:hAnsi="宋体" w:eastAsia="宋体" w:cs="宋体"/>
          <w:color w:val="auto"/>
          <w:sz w:val="28"/>
          <w:szCs w:val="28"/>
          <w:highlight w:val="none"/>
          <w:u w:val="single"/>
          <w:lang w:val="en-US" w:eastAsia="zh-CN"/>
        </w:rPr>
        <w:t>/</w:t>
      </w:r>
    </w:p>
    <w:p w14:paraId="19CE82B9">
      <w:pPr>
        <w:pStyle w:val="19"/>
        <w:keepNext w:val="0"/>
        <w:keepLines w:val="0"/>
        <w:pageBreakBefore w:val="0"/>
        <w:widowControl w:val="0"/>
        <w:tabs>
          <w:tab w:val="left" w:pos="6383"/>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w:t>
      </w:r>
      <w:r>
        <w:rPr>
          <w:rFonts w:hint="eastAsia" w:ascii="宋体" w:hAnsi="宋体" w:eastAsia="宋体" w:cs="宋体"/>
          <w:color w:val="auto"/>
          <w:spacing w:val="-3"/>
          <w:sz w:val="28"/>
          <w:szCs w:val="28"/>
          <w:highlight w:val="none"/>
        </w:rPr>
        <w:t>包</w:t>
      </w:r>
      <w:r>
        <w:rPr>
          <w:rFonts w:hint="eastAsia" w:ascii="宋体" w:hAnsi="宋体" w:eastAsia="宋体" w:cs="宋体"/>
          <w:color w:val="auto"/>
          <w:sz w:val="28"/>
          <w:szCs w:val="28"/>
          <w:highlight w:val="none"/>
        </w:rPr>
        <w:t>人是</w:t>
      </w:r>
      <w:r>
        <w:rPr>
          <w:rFonts w:hint="eastAsia" w:ascii="宋体" w:hAnsi="宋体" w:eastAsia="宋体" w:cs="宋体"/>
          <w:color w:val="auto"/>
          <w:spacing w:val="-3"/>
          <w:sz w:val="28"/>
          <w:szCs w:val="28"/>
          <w:highlight w:val="none"/>
        </w:rPr>
        <w:t>否</w:t>
      </w:r>
      <w:r>
        <w:rPr>
          <w:rFonts w:hint="eastAsia" w:ascii="宋体" w:hAnsi="宋体" w:eastAsia="宋体" w:cs="宋体"/>
          <w:color w:val="auto"/>
          <w:sz w:val="28"/>
          <w:szCs w:val="28"/>
          <w:highlight w:val="none"/>
        </w:rPr>
        <w:t>应为</w:t>
      </w:r>
      <w:r>
        <w:rPr>
          <w:rFonts w:hint="eastAsia" w:ascii="宋体" w:hAnsi="宋体" w:eastAsia="宋体" w:cs="宋体"/>
          <w:color w:val="auto"/>
          <w:spacing w:val="-3"/>
          <w:sz w:val="28"/>
          <w:szCs w:val="28"/>
          <w:highlight w:val="none"/>
        </w:rPr>
        <w:t>其</w:t>
      </w:r>
      <w:r>
        <w:rPr>
          <w:rFonts w:hint="eastAsia" w:ascii="宋体" w:hAnsi="宋体" w:eastAsia="宋体" w:cs="宋体"/>
          <w:color w:val="auto"/>
          <w:sz w:val="28"/>
          <w:szCs w:val="28"/>
          <w:highlight w:val="none"/>
        </w:rPr>
        <w:t>施工</w:t>
      </w:r>
      <w:r>
        <w:rPr>
          <w:rFonts w:hint="eastAsia" w:ascii="宋体" w:hAnsi="宋体" w:eastAsia="宋体" w:cs="宋体"/>
          <w:color w:val="auto"/>
          <w:spacing w:val="-3"/>
          <w:sz w:val="28"/>
          <w:szCs w:val="28"/>
          <w:highlight w:val="none"/>
        </w:rPr>
        <w:t>设</w:t>
      </w:r>
      <w:r>
        <w:rPr>
          <w:rFonts w:hint="eastAsia" w:ascii="宋体" w:hAnsi="宋体" w:eastAsia="宋体" w:cs="宋体"/>
          <w:color w:val="auto"/>
          <w:sz w:val="28"/>
          <w:szCs w:val="28"/>
          <w:highlight w:val="none"/>
        </w:rPr>
        <w:t>备等</w:t>
      </w:r>
      <w:r>
        <w:rPr>
          <w:rFonts w:hint="eastAsia" w:ascii="宋体" w:hAnsi="宋体" w:eastAsia="宋体" w:cs="宋体"/>
          <w:color w:val="auto"/>
          <w:spacing w:val="-3"/>
          <w:sz w:val="28"/>
          <w:szCs w:val="28"/>
          <w:highlight w:val="none"/>
        </w:rPr>
        <w:t>办</w:t>
      </w:r>
      <w:r>
        <w:rPr>
          <w:rFonts w:hint="eastAsia" w:ascii="宋体" w:hAnsi="宋体" w:eastAsia="宋体" w:cs="宋体"/>
          <w:color w:val="auto"/>
          <w:sz w:val="28"/>
          <w:szCs w:val="28"/>
          <w:highlight w:val="none"/>
        </w:rPr>
        <w:t>理财</w:t>
      </w:r>
      <w:r>
        <w:rPr>
          <w:rFonts w:hint="eastAsia" w:ascii="宋体" w:hAnsi="宋体" w:eastAsia="宋体" w:cs="宋体"/>
          <w:color w:val="auto"/>
          <w:spacing w:val="-3"/>
          <w:sz w:val="28"/>
          <w:szCs w:val="28"/>
          <w:highlight w:val="none"/>
        </w:rPr>
        <w:t>产</w:t>
      </w:r>
      <w:r>
        <w:rPr>
          <w:rFonts w:hint="eastAsia" w:ascii="宋体" w:hAnsi="宋体" w:eastAsia="宋体" w:cs="宋体"/>
          <w:color w:val="auto"/>
          <w:sz w:val="28"/>
          <w:szCs w:val="28"/>
          <w:highlight w:val="none"/>
        </w:rPr>
        <w:t>保险：</w:t>
      </w:r>
      <w:r>
        <w:rPr>
          <w:rFonts w:hint="eastAsia" w:ascii="宋体" w:hAnsi="宋体" w:eastAsia="宋体" w:cs="宋体"/>
          <w:color w:val="auto"/>
          <w:sz w:val="28"/>
          <w:szCs w:val="28"/>
          <w:highlight w:val="none"/>
          <w:u w:val="single"/>
          <w:lang w:val="en-US" w:eastAsia="zh-CN"/>
        </w:rPr>
        <w:t>/</w:t>
      </w:r>
    </w:p>
    <w:p w14:paraId="1CD56450">
      <w:pPr>
        <w:keepNext w:val="0"/>
        <w:keepLines w:val="0"/>
        <w:pageBreakBefore w:val="0"/>
        <w:widowControl w:val="0"/>
        <w:kinsoku/>
        <w:wordWrap/>
        <w:overflowPunct/>
        <w:topLinePunct w:val="0"/>
        <w:autoSpaceDE/>
        <w:autoSpaceDN/>
        <w:bidi w:val="0"/>
        <w:adjustRightInd/>
        <w:snapToGrid/>
        <w:spacing w:before="191" w:line="500" w:lineRule="exact"/>
        <w:ind w:left="332" w:right="48" w:rightChars="23" w:firstLine="0"/>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18.7 通知义务</w:t>
      </w:r>
    </w:p>
    <w:p w14:paraId="1B419D37">
      <w:pPr>
        <w:pStyle w:val="19"/>
        <w:keepNext w:val="0"/>
        <w:keepLines w:val="0"/>
        <w:pageBreakBefore w:val="0"/>
        <w:widowControl w:val="0"/>
        <w:tabs>
          <w:tab w:val="left" w:pos="6272"/>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关</w:t>
      </w:r>
      <w:r>
        <w:rPr>
          <w:rFonts w:hint="eastAsia" w:ascii="宋体" w:hAnsi="宋体" w:eastAsia="宋体" w:cs="宋体"/>
          <w:color w:val="auto"/>
          <w:spacing w:val="-3"/>
          <w:sz w:val="28"/>
          <w:szCs w:val="28"/>
          <w:highlight w:val="none"/>
        </w:rPr>
        <w:t>于</w:t>
      </w:r>
      <w:r>
        <w:rPr>
          <w:rFonts w:hint="eastAsia" w:ascii="宋体" w:hAnsi="宋体" w:eastAsia="宋体" w:cs="宋体"/>
          <w:color w:val="auto"/>
          <w:sz w:val="28"/>
          <w:szCs w:val="28"/>
          <w:highlight w:val="none"/>
        </w:rPr>
        <w:t>变更</w:t>
      </w:r>
      <w:r>
        <w:rPr>
          <w:rFonts w:hint="eastAsia" w:ascii="宋体" w:hAnsi="宋体" w:eastAsia="宋体" w:cs="宋体"/>
          <w:color w:val="auto"/>
          <w:spacing w:val="-3"/>
          <w:sz w:val="28"/>
          <w:szCs w:val="28"/>
          <w:highlight w:val="none"/>
        </w:rPr>
        <w:t>保</w:t>
      </w:r>
      <w:r>
        <w:rPr>
          <w:rFonts w:hint="eastAsia" w:ascii="宋体" w:hAnsi="宋体" w:eastAsia="宋体" w:cs="宋体"/>
          <w:color w:val="auto"/>
          <w:sz w:val="28"/>
          <w:szCs w:val="28"/>
          <w:highlight w:val="none"/>
        </w:rPr>
        <w:t>险合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时的</w:t>
      </w:r>
      <w:r>
        <w:rPr>
          <w:rFonts w:hint="eastAsia" w:ascii="宋体" w:hAnsi="宋体" w:eastAsia="宋体" w:cs="宋体"/>
          <w:color w:val="auto"/>
          <w:spacing w:val="-3"/>
          <w:sz w:val="28"/>
          <w:szCs w:val="28"/>
          <w:highlight w:val="none"/>
        </w:rPr>
        <w:t>通</w:t>
      </w:r>
      <w:r>
        <w:rPr>
          <w:rFonts w:hint="eastAsia" w:ascii="宋体" w:hAnsi="宋体" w:eastAsia="宋体" w:cs="宋体"/>
          <w:color w:val="auto"/>
          <w:sz w:val="28"/>
          <w:szCs w:val="28"/>
          <w:highlight w:val="none"/>
        </w:rPr>
        <w:t>知义</w:t>
      </w:r>
      <w:r>
        <w:rPr>
          <w:rFonts w:hint="eastAsia" w:ascii="宋体" w:hAnsi="宋体" w:eastAsia="宋体" w:cs="宋体"/>
          <w:color w:val="auto"/>
          <w:spacing w:val="-3"/>
          <w:sz w:val="28"/>
          <w:szCs w:val="28"/>
          <w:highlight w:val="none"/>
        </w:rPr>
        <w:t>务</w:t>
      </w:r>
      <w:r>
        <w:rPr>
          <w:rFonts w:hint="eastAsia" w:ascii="宋体" w:hAnsi="宋体" w:eastAsia="宋体" w:cs="宋体"/>
          <w:color w:val="auto"/>
          <w:sz w:val="28"/>
          <w:szCs w:val="28"/>
          <w:highlight w:val="none"/>
        </w:rPr>
        <w:t>的约</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75728BB1">
      <w:pPr>
        <w:keepNext w:val="0"/>
        <w:keepLines w:val="0"/>
        <w:pageBreakBefore w:val="0"/>
        <w:widowControl w:val="0"/>
        <w:numPr>
          <w:ilvl w:val="0"/>
          <w:numId w:val="26"/>
        </w:numPr>
        <w:tabs>
          <w:tab w:val="left" w:pos="777"/>
        </w:tabs>
        <w:kinsoku/>
        <w:wordWrap/>
        <w:overflowPunct/>
        <w:topLinePunct w:val="0"/>
        <w:autoSpaceDE/>
        <w:autoSpaceDN/>
        <w:bidi w:val="0"/>
        <w:adjustRightInd/>
        <w:snapToGrid/>
        <w:spacing w:before="191" w:line="500" w:lineRule="exact"/>
        <w:ind w:left="776" w:right="48" w:rightChars="23" w:hanging="445"/>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争议解决</w:t>
      </w:r>
    </w:p>
    <w:p w14:paraId="3A9646E0">
      <w:pPr>
        <w:keepNext w:val="0"/>
        <w:keepLines w:val="0"/>
        <w:pageBreakBefore w:val="0"/>
        <w:widowControl w:val="0"/>
        <w:numPr>
          <w:ilvl w:val="1"/>
          <w:numId w:val="27"/>
        </w:numPr>
        <w:tabs>
          <w:tab w:val="left" w:pos="888"/>
        </w:tabs>
        <w:kinsoku/>
        <w:wordWrap/>
        <w:overflowPunct/>
        <w:topLinePunct w:val="0"/>
        <w:autoSpaceDE/>
        <w:autoSpaceDN/>
        <w:bidi w:val="0"/>
        <w:adjustRightInd/>
        <w:snapToGrid/>
        <w:spacing w:before="0" w:line="500" w:lineRule="exact"/>
        <w:ind w:left="887" w:right="48" w:rightChars="23" w:hanging="556"/>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争议评审</w:t>
      </w:r>
    </w:p>
    <w:p w14:paraId="7E0C328E">
      <w:pPr>
        <w:pStyle w:val="19"/>
        <w:keepNext w:val="0"/>
        <w:keepLines w:val="0"/>
        <w:pageBreakBefore w:val="0"/>
        <w:widowControl w:val="0"/>
        <w:tabs>
          <w:tab w:val="left" w:pos="7153"/>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当事</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是否</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意将</w:t>
      </w:r>
      <w:r>
        <w:rPr>
          <w:rFonts w:hint="eastAsia" w:ascii="宋体" w:hAnsi="宋体" w:eastAsia="宋体" w:cs="宋体"/>
          <w:color w:val="auto"/>
          <w:spacing w:val="-3"/>
          <w:sz w:val="28"/>
          <w:szCs w:val="28"/>
          <w:highlight w:val="none"/>
        </w:rPr>
        <w:t>工</w:t>
      </w:r>
      <w:r>
        <w:rPr>
          <w:rFonts w:hint="eastAsia" w:ascii="宋体" w:hAnsi="宋体" w:eastAsia="宋体" w:cs="宋体"/>
          <w:color w:val="auto"/>
          <w:sz w:val="28"/>
          <w:szCs w:val="28"/>
          <w:highlight w:val="none"/>
        </w:rPr>
        <w:t>程争</w:t>
      </w:r>
      <w:r>
        <w:rPr>
          <w:rFonts w:hint="eastAsia" w:ascii="宋体" w:hAnsi="宋体" w:eastAsia="宋体" w:cs="宋体"/>
          <w:color w:val="auto"/>
          <w:spacing w:val="-3"/>
          <w:sz w:val="28"/>
          <w:szCs w:val="28"/>
          <w:highlight w:val="none"/>
        </w:rPr>
        <w:t>议</w:t>
      </w:r>
      <w:r>
        <w:rPr>
          <w:rFonts w:hint="eastAsia" w:ascii="宋体" w:hAnsi="宋体" w:eastAsia="宋体" w:cs="宋体"/>
          <w:color w:val="auto"/>
          <w:sz w:val="28"/>
          <w:szCs w:val="28"/>
          <w:highlight w:val="none"/>
        </w:rPr>
        <w:t>提交</w:t>
      </w:r>
      <w:r>
        <w:rPr>
          <w:rFonts w:hint="eastAsia" w:ascii="宋体" w:hAnsi="宋体" w:eastAsia="宋体" w:cs="宋体"/>
          <w:color w:val="auto"/>
          <w:spacing w:val="-3"/>
          <w:sz w:val="28"/>
          <w:szCs w:val="28"/>
          <w:highlight w:val="none"/>
        </w:rPr>
        <w:t>争</w:t>
      </w:r>
      <w:r>
        <w:rPr>
          <w:rFonts w:hint="eastAsia" w:ascii="宋体" w:hAnsi="宋体" w:eastAsia="宋体" w:cs="宋体"/>
          <w:color w:val="auto"/>
          <w:sz w:val="28"/>
          <w:szCs w:val="28"/>
          <w:highlight w:val="none"/>
        </w:rPr>
        <w:t>议评</w:t>
      </w:r>
      <w:r>
        <w:rPr>
          <w:rFonts w:hint="eastAsia" w:ascii="宋体" w:hAnsi="宋体" w:eastAsia="宋体" w:cs="宋体"/>
          <w:color w:val="auto"/>
          <w:spacing w:val="-3"/>
          <w:sz w:val="28"/>
          <w:szCs w:val="28"/>
          <w:highlight w:val="none"/>
        </w:rPr>
        <w:t>审</w:t>
      </w:r>
      <w:r>
        <w:rPr>
          <w:rFonts w:hint="eastAsia" w:ascii="宋体" w:hAnsi="宋体" w:eastAsia="宋体" w:cs="宋体"/>
          <w:color w:val="auto"/>
          <w:sz w:val="28"/>
          <w:szCs w:val="28"/>
          <w:highlight w:val="none"/>
        </w:rPr>
        <w:t>小组</w:t>
      </w:r>
      <w:r>
        <w:rPr>
          <w:rFonts w:hint="eastAsia" w:ascii="宋体" w:hAnsi="宋体" w:eastAsia="宋体" w:cs="宋体"/>
          <w:color w:val="auto"/>
          <w:spacing w:val="-3"/>
          <w:sz w:val="28"/>
          <w:szCs w:val="28"/>
          <w:highlight w:val="none"/>
        </w:rPr>
        <w:t>决</w:t>
      </w:r>
      <w:r>
        <w:rPr>
          <w:rFonts w:hint="eastAsia" w:ascii="宋体" w:hAnsi="宋体" w:eastAsia="宋体" w:cs="宋体"/>
          <w:color w:val="auto"/>
          <w:sz w:val="28"/>
          <w:szCs w:val="28"/>
          <w:highlight w:val="none"/>
        </w:rPr>
        <w:t>定：</w:t>
      </w:r>
      <w:r>
        <w:rPr>
          <w:rFonts w:hint="eastAsia" w:ascii="宋体" w:hAnsi="宋体" w:eastAsia="宋体" w:cs="宋体"/>
          <w:color w:val="auto"/>
          <w:sz w:val="28"/>
          <w:szCs w:val="28"/>
          <w:highlight w:val="none"/>
          <w:u w:val="single"/>
          <w:lang w:val="en-US" w:eastAsia="zh-CN"/>
        </w:rPr>
        <w:t>/</w:t>
      </w:r>
    </w:p>
    <w:p w14:paraId="206C6AE6">
      <w:pPr>
        <w:pStyle w:val="196"/>
        <w:keepNext w:val="0"/>
        <w:keepLines w:val="0"/>
        <w:pageBreakBefore w:val="0"/>
        <w:widowControl w:val="0"/>
        <w:numPr>
          <w:ilvl w:val="0"/>
          <w:numId w:val="0"/>
        </w:numPr>
        <w:tabs>
          <w:tab w:val="left" w:pos="1104"/>
        </w:tabs>
        <w:kinsoku/>
        <w:wordWrap/>
        <w:overflowPunct/>
        <w:topLinePunct w:val="0"/>
        <w:autoSpaceDE/>
        <w:autoSpaceDN/>
        <w:bidi w:val="0"/>
        <w:adjustRightInd/>
        <w:snapToGrid/>
        <w:spacing w:before="0" w:after="0" w:line="50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20.3.1</w:t>
      </w:r>
      <w:r>
        <w:rPr>
          <w:rFonts w:hint="eastAsia" w:ascii="宋体" w:hAnsi="宋体" w:eastAsia="宋体" w:cs="宋体"/>
          <w:color w:val="auto"/>
          <w:spacing w:val="-3"/>
          <w:sz w:val="28"/>
          <w:szCs w:val="28"/>
          <w:highlight w:val="none"/>
        </w:rPr>
        <w:t>争议评审小组的确定</w:t>
      </w:r>
    </w:p>
    <w:p w14:paraId="45566CBC">
      <w:pPr>
        <w:pStyle w:val="19"/>
        <w:keepNext w:val="0"/>
        <w:keepLines w:val="0"/>
        <w:pageBreakBefore w:val="0"/>
        <w:widowControl w:val="0"/>
        <w:tabs>
          <w:tab w:val="left" w:pos="3743"/>
          <w:tab w:val="left" w:pos="4074"/>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争</w:t>
      </w:r>
      <w:r>
        <w:rPr>
          <w:rFonts w:hint="eastAsia" w:ascii="宋体" w:hAnsi="宋体" w:eastAsia="宋体" w:cs="宋体"/>
          <w:color w:val="auto"/>
          <w:spacing w:val="-3"/>
          <w:sz w:val="28"/>
          <w:szCs w:val="28"/>
          <w:highlight w:val="none"/>
        </w:rPr>
        <w:t>议</w:t>
      </w:r>
      <w:r>
        <w:rPr>
          <w:rFonts w:hint="eastAsia" w:ascii="宋体" w:hAnsi="宋体" w:eastAsia="宋体" w:cs="宋体"/>
          <w:color w:val="auto"/>
          <w:sz w:val="28"/>
          <w:szCs w:val="28"/>
          <w:highlight w:val="none"/>
        </w:rPr>
        <w:t>评审</w:t>
      </w:r>
      <w:r>
        <w:rPr>
          <w:rFonts w:hint="eastAsia" w:ascii="宋体" w:hAnsi="宋体" w:eastAsia="宋体" w:cs="宋体"/>
          <w:color w:val="auto"/>
          <w:spacing w:val="-3"/>
          <w:sz w:val="28"/>
          <w:szCs w:val="28"/>
          <w:highlight w:val="none"/>
        </w:rPr>
        <w:t>小</w:t>
      </w:r>
      <w:r>
        <w:rPr>
          <w:rFonts w:hint="eastAsia" w:ascii="宋体" w:hAnsi="宋体" w:eastAsia="宋体" w:cs="宋体"/>
          <w:color w:val="auto"/>
          <w:sz w:val="28"/>
          <w:szCs w:val="28"/>
          <w:highlight w:val="none"/>
        </w:rPr>
        <w:t>组成</w:t>
      </w:r>
      <w:r>
        <w:rPr>
          <w:rFonts w:hint="eastAsia" w:ascii="宋体" w:hAnsi="宋体" w:eastAsia="宋体" w:cs="宋体"/>
          <w:color w:val="auto"/>
          <w:spacing w:val="-3"/>
          <w:sz w:val="28"/>
          <w:szCs w:val="28"/>
          <w:highlight w:val="none"/>
        </w:rPr>
        <w:t>员</w:t>
      </w:r>
      <w:r>
        <w:rPr>
          <w:rFonts w:hint="eastAsia" w:ascii="宋体" w:hAnsi="宋体" w:eastAsia="宋体" w:cs="宋体"/>
          <w:color w:val="auto"/>
          <w:sz w:val="28"/>
          <w:szCs w:val="28"/>
          <w:highlight w:val="none"/>
        </w:rPr>
        <w:t>的确</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w:t>
      </w:r>
    </w:p>
    <w:p w14:paraId="1B4652F2">
      <w:pPr>
        <w:pStyle w:val="19"/>
        <w:keepNext w:val="0"/>
        <w:keepLines w:val="0"/>
        <w:pageBreakBefore w:val="0"/>
        <w:widowControl w:val="0"/>
        <w:tabs>
          <w:tab w:val="left" w:pos="3743"/>
          <w:tab w:val="left" w:pos="4074"/>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选</w:t>
      </w:r>
      <w:r>
        <w:rPr>
          <w:rFonts w:hint="eastAsia" w:ascii="宋体" w:hAnsi="宋体" w:eastAsia="宋体" w:cs="宋体"/>
          <w:color w:val="auto"/>
          <w:spacing w:val="-3"/>
          <w:sz w:val="28"/>
          <w:szCs w:val="28"/>
          <w:highlight w:val="none"/>
        </w:rPr>
        <w:t>定</w:t>
      </w:r>
      <w:r>
        <w:rPr>
          <w:rFonts w:hint="eastAsia" w:ascii="宋体" w:hAnsi="宋体" w:eastAsia="宋体" w:cs="宋体"/>
          <w:color w:val="auto"/>
          <w:sz w:val="28"/>
          <w:szCs w:val="28"/>
          <w:highlight w:val="none"/>
        </w:rPr>
        <w:t>争议</w:t>
      </w:r>
      <w:r>
        <w:rPr>
          <w:rFonts w:hint="eastAsia" w:ascii="宋体" w:hAnsi="宋体" w:eastAsia="宋体" w:cs="宋体"/>
          <w:color w:val="auto"/>
          <w:spacing w:val="-3"/>
          <w:sz w:val="28"/>
          <w:szCs w:val="28"/>
          <w:highlight w:val="none"/>
        </w:rPr>
        <w:t>评</w:t>
      </w:r>
      <w:r>
        <w:rPr>
          <w:rFonts w:hint="eastAsia" w:ascii="宋体" w:hAnsi="宋体" w:eastAsia="宋体" w:cs="宋体"/>
          <w:color w:val="auto"/>
          <w:sz w:val="28"/>
          <w:szCs w:val="28"/>
          <w:highlight w:val="none"/>
        </w:rPr>
        <w:t>审员</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期限：</w:t>
      </w:r>
      <w:r>
        <w:rPr>
          <w:rFonts w:hint="eastAsia" w:ascii="宋体" w:hAnsi="宋体" w:eastAsia="宋体" w:cs="宋体"/>
          <w:color w:val="auto"/>
          <w:sz w:val="28"/>
          <w:szCs w:val="28"/>
          <w:highlight w:val="none"/>
          <w:u w:val="single"/>
          <w:lang w:val="en-US" w:eastAsia="zh-CN"/>
        </w:rPr>
        <w:t>/</w:t>
      </w:r>
    </w:p>
    <w:p w14:paraId="25D4F474">
      <w:pPr>
        <w:pStyle w:val="19"/>
        <w:keepNext w:val="0"/>
        <w:keepLines w:val="0"/>
        <w:pageBreakBefore w:val="0"/>
        <w:widowControl w:val="0"/>
        <w:tabs>
          <w:tab w:val="left" w:pos="3414"/>
          <w:tab w:val="left" w:pos="4952"/>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争</w:t>
      </w:r>
      <w:r>
        <w:rPr>
          <w:rFonts w:hint="eastAsia" w:ascii="宋体" w:hAnsi="宋体" w:eastAsia="宋体" w:cs="宋体"/>
          <w:color w:val="auto"/>
          <w:spacing w:val="-3"/>
          <w:sz w:val="28"/>
          <w:szCs w:val="28"/>
          <w:highlight w:val="none"/>
        </w:rPr>
        <w:t>议</w:t>
      </w:r>
      <w:r>
        <w:rPr>
          <w:rFonts w:hint="eastAsia" w:ascii="宋体" w:hAnsi="宋体" w:eastAsia="宋体" w:cs="宋体"/>
          <w:color w:val="auto"/>
          <w:sz w:val="28"/>
          <w:szCs w:val="28"/>
          <w:highlight w:val="none"/>
        </w:rPr>
        <w:t>评审</w:t>
      </w:r>
      <w:r>
        <w:rPr>
          <w:rFonts w:hint="eastAsia" w:ascii="宋体" w:hAnsi="宋体" w:eastAsia="宋体" w:cs="宋体"/>
          <w:color w:val="auto"/>
          <w:spacing w:val="-3"/>
          <w:sz w:val="28"/>
          <w:szCs w:val="28"/>
          <w:highlight w:val="none"/>
        </w:rPr>
        <w:t>小</w:t>
      </w:r>
      <w:r>
        <w:rPr>
          <w:rFonts w:hint="eastAsia" w:ascii="宋体" w:hAnsi="宋体" w:eastAsia="宋体" w:cs="宋体"/>
          <w:color w:val="auto"/>
          <w:sz w:val="28"/>
          <w:szCs w:val="28"/>
          <w:highlight w:val="none"/>
        </w:rPr>
        <w:t>组成</w:t>
      </w:r>
      <w:r>
        <w:rPr>
          <w:rFonts w:hint="eastAsia" w:ascii="宋体" w:hAnsi="宋体" w:eastAsia="宋体" w:cs="宋体"/>
          <w:color w:val="auto"/>
          <w:spacing w:val="-3"/>
          <w:sz w:val="28"/>
          <w:szCs w:val="28"/>
          <w:highlight w:val="none"/>
        </w:rPr>
        <w:t>员</w:t>
      </w:r>
      <w:r>
        <w:rPr>
          <w:rFonts w:hint="eastAsia" w:ascii="宋体" w:hAnsi="宋体" w:eastAsia="宋体" w:cs="宋体"/>
          <w:color w:val="auto"/>
          <w:sz w:val="28"/>
          <w:szCs w:val="28"/>
          <w:highlight w:val="none"/>
        </w:rPr>
        <w:t>的报</w:t>
      </w:r>
      <w:r>
        <w:rPr>
          <w:rFonts w:hint="eastAsia" w:ascii="宋体" w:hAnsi="宋体" w:eastAsia="宋体" w:cs="宋体"/>
          <w:color w:val="auto"/>
          <w:spacing w:val="-3"/>
          <w:sz w:val="28"/>
          <w:szCs w:val="28"/>
          <w:highlight w:val="none"/>
        </w:rPr>
        <w:t>酬</w:t>
      </w:r>
      <w:r>
        <w:rPr>
          <w:rFonts w:hint="eastAsia" w:ascii="宋体" w:hAnsi="宋体" w:eastAsia="宋体" w:cs="宋体"/>
          <w:color w:val="auto"/>
          <w:sz w:val="28"/>
          <w:szCs w:val="28"/>
          <w:highlight w:val="none"/>
        </w:rPr>
        <w:t>承担</w:t>
      </w:r>
      <w:r>
        <w:rPr>
          <w:rFonts w:hint="eastAsia" w:ascii="宋体" w:hAnsi="宋体" w:eastAsia="宋体" w:cs="宋体"/>
          <w:color w:val="auto"/>
          <w:spacing w:val="-3"/>
          <w:sz w:val="28"/>
          <w:szCs w:val="28"/>
          <w:highlight w:val="none"/>
        </w:rPr>
        <w:t>方</w:t>
      </w:r>
      <w:r>
        <w:rPr>
          <w:rFonts w:hint="eastAsia" w:ascii="宋体" w:hAnsi="宋体" w:eastAsia="宋体" w:cs="宋体"/>
          <w:color w:val="auto"/>
          <w:sz w:val="28"/>
          <w:szCs w:val="28"/>
          <w:highlight w:val="none"/>
        </w:rPr>
        <w:t>式：</w:t>
      </w:r>
      <w:r>
        <w:rPr>
          <w:rFonts w:hint="eastAsia" w:ascii="宋体" w:hAnsi="宋体" w:eastAsia="宋体" w:cs="宋体"/>
          <w:color w:val="auto"/>
          <w:sz w:val="28"/>
          <w:szCs w:val="28"/>
          <w:highlight w:val="none"/>
          <w:u w:val="single"/>
          <w:lang w:val="en-US" w:eastAsia="zh-CN"/>
        </w:rPr>
        <w:t>/</w:t>
      </w:r>
    </w:p>
    <w:p w14:paraId="6E42A798">
      <w:pPr>
        <w:pStyle w:val="19"/>
        <w:keepNext w:val="0"/>
        <w:keepLines w:val="0"/>
        <w:pageBreakBefore w:val="0"/>
        <w:widowControl w:val="0"/>
        <w:tabs>
          <w:tab w:val="left" w:pos="3414"/>
          <w:tab w:val="left" w:pos="4952"/>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w:t>
      </w:r>
      <w:r>
        <w:rPr>
          <w:rFonts w:hint="eastAsia" w:ascii="宋体" w:hAnsi="宋体" w:eastAsia="宋体" w:cs="宋体"/>
          <w:color w:val="auto"/>
          <w:spacing w:val="-3"/>
          <w:sz w:val="28"/>
          <w:szCs w:val="28"/>
          <w:highlight w:val="none"/>
        </w:rPr>
        <w:t>他</w:t>
      </w:r>
      <w:r>
        <w:rPr>
          <w:rFonts w:hint="eastAsia" w:ascii="宋体" w:hAnsi="宋体" w:eastAsia="宋体" w:cs="宋体"/>
          <w:color w:val="auto"/>
          <w:sz w:val="28"/>
          <w:szCs w:val="28"/>
          <w:highlight w:val="none"/>
        </w:rPr>
        <w:t>事项</w:t>
      </w:r>
      <w:r>
        <w:rPr>
          <w:rFonts w:hint="eastAsia" w:ascii="宋体" w:hAnsi="宋体" w:eastAsia="宋体" w:cs="宋体"/>
          <w:color w:val="auto"/>
          <w:spacing w:val="-3"/>
          <w:sz w:val="28"/>
          <w:szCs w:val="28"/>
          <w:highlight w:val="none"/>
        </w:rPr>
        <w:t>的</w:t>
      </w:r>
      <w:r>
        <w:rPr>
          <w:rFonts w:hint="eastAsia" w:ascii="宋体" w:hAnsi="宋体" w:eastAsia="宋体" w:cs="宋体"/>
          <w:color w:val="auto"/>
          <w:sz w:val="28"/>
          <w:szCs w:val="28"/>
          <w:highlight w:val="none"/>
        </w:rPr>
        <w:t>约定：</w:t>
      </w:r>
      <w:r>
        <w:rPr>
          <w:rFonts w:hint="eastAsia" w:ascii="宋体" w:hAnsi="宋体" w:eastAsia="宋体" w:cs="宋体"/>
          <w:color w:val="auto"/>
          <w:sz w:val="28"/>
          <w:szCs w:val="28"/>
          <w:highlight w:val="none"/>
          <w:u w:val="single"/>
          <w:lang w:val="en-US" w:eastAsia="zh-CN"/>
        </w:rPr>
        <w:t>/</w:t>
      </w:r>
    </w:p>
    <w:p w14:paraId="2FB36B13">
      <w:pPr>
        <w:pStyle w:val="196"/>
        <w:keepNext w:val="0"/>
        <w:keepLines w:val="0"/>
        <w:pageBreakBefore w:val="0"/>
        <w:widowControl w:val="0"/>
        <w:numPr>
          <w:ilvl w:val="0"/>
          <w:numId w:val="0"/>
        </w:numPr>
        <w:tabs>
          <w:tab w:val="left" w:pos="1104"/>
        </w:tabs>
        <w:kinsoku/>
        <w:wordWrap/>
        <w:overflowPunct/>
        <w:topLinePunct w:val="0"/>
        <w:autoSpaceDE/>
        <w:autoSpaceDN/>
        <w:bidi w:val="0"/>
        <w:adjustRightInd/>
        <w:snapToGrid/>
        <w:spacing w:before="0" w:after="0" w:line="50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20.3.2</w:t>
      </w:r>
      <w:r>
        <w:rPr>
          <w:rFonts w:hint="eastAsia" w:ascii="宋体" w:hAnsi="宋体" w:eastAsia="宋体" w:cs="宋体"/>
          <w:color w:val="auto"/>
          <w:spacing w:val="-3"/>
          <w:sz w:val="28"/>
          <w:szCs w:val="28"/>
          <w:highlight w:val="none"/>
        </w:rPr>
        <w:t>争议评审小组的决定</w:t>
      </w:r>
    </w:p>
    <w:p w14:paraId="7AE953BD">
      <w:pPr>
        <w:pStyle w:val="19"/>
        <w:keepNext w:val="0"/>
        <w:keepLines w:val="0"/>
        <w:pageBreakBefore w:val="0"/>
        <w:widowControl w:val="0"/>
        <w:tabs>
          <w:tab w:val="left" w:pos="4734"/>
        </w:tabs>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w:t>
      </w:r>
      <w:r>
        <w:rPr>
          <w:rFonts w:hint="eastAsia" w:ascii="宋体" w:hAnsi="宋体" w:eastAsia="宋体" w:cs="宋体"/>
          <w:color w:val="auto"/>
          <w:spacing w:val="-3"/>
          <w:sz w:val="28"/>
          <w:szCs w:val="28"/>
          <w:highlight w:val="none"/>
        </w:rPr>
        <w:t>同</w:t>
      </w:r>
      <w:r>
        <w:rPr>
          <w:rFonts w:hint="eastAsia" w:ascii="宋体" w:hAnsi="宋体" w:eastAsia="宋体" w:cs="宋体"/>
          <w:color w:val="auto"/>
          <w:sz w:val="28"/>
          <w:szCs w:val="28"/>
          <w:highlight w:val="none"/>
        </w:rPr>
        <w:t>当事</w:t>
      </w:r>
      <w:r>
        <w:rPr>
          <w:rFonts w:hint="eastAsia" w:ascii="宋体" w:hAnsi="宋体" w:eastAsia="宋体" w:cs="宋体"/>
          <w:color w:val="auto"/>
          <w:spacing w:val="-3"/>
          <w:sz w:val="28"/>
          <w:szCs w:val="28"/>
          <w:highlight w:val="none"/>
        </w:rPr>
        <w:t>人</w:t>
      </w:r>
      <w:r>
        <w:rPr>
          <w:rFonts w:hint="eastAsia" w:ascii="宋体" w:hAnsi="宋体" w:eastAsia="宋体" w:cs="宋体"/>
          <w:color w:val="auto"/>
          <w:sz w:val="28"/>
          <w:szCs w:val="28"/>
          <w:highlight w:val="none"/>
        </w:rPr>
        <w:t>关于</w:t>
      </w:r>
      <w:r>
        <w:rPr>
          <w:rFonts w:hint="eastAsia" w:ascii="宋体" w:hAnsi="宋体" w:eastAsia="宋体" w:cs="宋体"/>
          <w:color w:val="auto"/>
          <w:spacing w:val="-3"/>
          <w:sz w:val="28"/>
          <w:szCs w:val="28"/>
          <w:highlight w:val="none"/>
        </w:rPr>
        <w:t>本</w:t>
      </w:r>
      <w:r>
        <w:rPr>
          <w:rFonts w:hint="eastAsia" w:ascii="宋体" w:hAnsi="宋体" w:eastAsia="宋体" w:cs="宋体"/>
          <w:color w:val="auto"/>
          <w:sz w:val="28"/>
          <w:szCs w:val="28"/>
          <w:highlight w:val="none"/>
        </w:rPr>
        <w:t>项的</w:t>
      </w:r>
      <w:r>
        <w:rPr>
          <w:rFonts w:hint="eastAsia" w:ascii="宋体" w:hAnsi="宋体" w:eastAsia="宋体" w:cs="宋体"/>
          <w:color w:val="auto"/>
          <w:spacing w:val="-3"/>
          <w:sz w:val="28"/>
          <w:szCs w:val="28"/>
          <w:highlight w:val="none"/>
        </w:rPr>
        <w:t>约</w:t>
      </w:r>
      <w:r>
        <w:rPr>
          <w:rFonts w:hint="eastAsia" w:ascii="宋体" w:hAnsi="宋体" w:eastAsia="宋体" w:cs="宋体"/>
          <w:color w:val="auto"/>
          <w:sz w:val="28"/>
          <w:szCs w:val="28"/>
          <w:highlight w:val="none"/>
        </w:rPr>
        <w:t>定：</w:t>
      </w:r>
      <w:r>
        <w:rPr>
          <w:rFonts w:hint="eastAsia" w:ascii="宋体" w:hAnsi="宋体" w:eastAsia="宋体" w:cs="宋体"/>
          <w:color w:val="auto"/>
          <w:sz w:val="28"/>
          <w:szCs w:val="28"/>
          <w:highlight w:val="none"/>
          <w:u w:val="single"/>
          <w:lang w:val="en-US" w:eastAsia="zh-CN"/>
        </w:rPr>
        <w:t>/</w:t>
      </w:r>
    </w:p>
    <w:p w14:paraId="0CA90A47">
      <w:pPr>
        <w:keepNext w:val="0"/>
        <w:keepLines w:val="0"/>
        <w:pageBreakBefore w:val="0"/>
        <w:widowControl w:val="0"/>
        <w:numPr>
          <w:ilvl w:val="1"/>
          <w:numId w:val="27"/>
        </w:numPr>
        <w:tabs>
          <w:tab w:val="left" w:pos="888"/>
        </w:tabs>
        <w:kinsoku/>
        <w:wordWrap/>
        <w:overflowPunct/>
        <w:topLinePunct w:val="0"/>
        <w:autoSpaceDE/>
        <w:autoSpaceDN/>
        <w:bidi w:val="0"/>
        <w:adjustRightInd/>
        <w:snapToGrid/>
        <w:spacing w:before="50" w:line="500" w:lineRule="exact"/>
        <w:ind w:left="887" w:right="48" w:rightChars="23" w:hanging="556"/>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仲裁或诉讼</w:t>
      </w:r>
    </w:p>
    <w:p w14:paraId="47DBA3C4">
      <w:pPr>
        <w:pStyle w:val="19"/>
        <w:keepNext w:val="0"/>
        <w:keepLines w:val="0"/>
        <w:pageBreakBefore w:val="0"/>
        <w:widowControl w:val="0"/>
        <w:kinsoku/>
        <w:wordWrap/>
        <w:overflowPunct/>
        <w:topLinePunct w:val="0"/>
        <w:autoSpaceDE/>
        <w:autoSpaceDN/>
        <w:bidi w:val="0"/>
        <w:adjustRightInd/>
        <w:snapToGrid/>
        <w:spacing w:line="500" w:lineRule="exact"/>
        <w:ind w:left="332" w:right="48" w:rightChars="23"/>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因合同及合同有关事项发生的争议，按下列第</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种方式解决：</w:t>
      </w:r>
    </w:p>
    <w:p w14:paraId="40DF2DF3">
      <w:pPr>
        <w:pStyle w:val="196"/>
        <w:keepNext w:val="0"/>
        <w:keepLines w:val="0"/>
        <w:pageBreakBefore w:val="0"/>
        <w:widowControl w:val="0"/>
        <w:numPr>
          <w:ilvl w:val="0"/>
          <w:numId w:val="0"/>
        </w:numPr>
        <w:tabs>
          <w:tab w:val="left" w:pos="886"/>
        </w:tabs>
        <w:kinsoku/>
        <w:wordWrap/>
        <w:overflowPunct/>
        <w:topLinePunct w:val="0"/>
        <w:autoSpaceDE/>
        <w:autoSpaceDN/>
        <w:bidi w:val="0"/>
        <w:adjustRightInd/>
        <w:snapToGrid/>
        <w:spacing w:before="0" w:after="0" w:line="50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(1)</w:t>
      </w:r>
      <w:r>
        <w:rPr>
          <w:rFonts w:hint="eastAsia" w:ascii="宋体" w:hAnsi="宋体" w:eastAsia="宋体" w:cs="宋体"/>
          <w:color w:val="auto"/>
          <w:spacing w:val="-3"/>
          <w:sz w:val="28"/>
          <w:szCs w:val="28"/>
          <w:highlight w:val="none"/>
        </w:rPr>
        <w:t>提请仲裁委员会按照该会仲裁规则进行仲裁，仲裁裁决是终局的，对合同双方均有约束力。</w:t>
      </w:r>
    </w:p>
    <w:p w14:paraId="0A70E4F7">
      <w:pPr>
        <w:pStyle w:val="196"/>
        <w:keepNext w:val="0"/>
        <w:keepLines w:val="0"/>
        <w:pageBreakBefore w:val="0"/>
        <w:widowControl w:val="0"/>
        <w:numPr>
          <w:ilvl w:val="0"/>
          <w:numId w:val="0"/>
        </w:numPr>
        <w:tabs>
          <w:tab w:val="left" w:pos="886"/>
        </w:tabs>
        <w:kinsoku/>
        <w:wordWrap/>
        <w:overflowPunct/>
        <w:topLinePunct w:val="0"/>
        <w:autoSpaceDE/>
        <w:autoSpaceDN/>
        <w:bidi w:val="0"/>
        <w:adjustRightInd/>
        <w:snapToGrid/>
        <w:spacing w:before="0" w:after="0" w:line="50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w:t>
      </w:r>
      <w:r>
        <w:rPr>
          <w:rFonts w:hint="eastAsia" w:ascii="宋体" w:hAnsi="宋体" w:eastAsia="宋体" w:cs="宋体"/>
          <w:color w:val="auto"/>
          <w:spacing w:val="-3"/>
          <w:sz w:val="28"/>
          <w:szCs w:val="28"/>
          <w:highlight w:val="none"/>
        </w:rPr>
        <w:t>向</w:t>
      </w:r>
      <w:r>
        <w:rPr>
          <w:rFonts w:hint="eastAsia" w:ascii="宋体" w:hAnsi="宋体" w:eastAsia="宋体" w:cs="宋体"/>
          <w:color w:val="auto"/>
          <w:spacing w:val="-3"/>
          <w:sz w:val="28"/>
          <w:szCs w:val="28"/>
          <w:highlight w:val="none"/>
          <w:lang w:val="en-US" w:eastAsia="zh-CN"/>
        </w:rPr>
        <w:t>项目实施所在地</w:t>
      </w:r>
      <w:r>
        <w:rPr>
          <w:rFonts w:hint="eastAsia" w:ascii="宋体" w:hAnsi="宋体" w:eastAsia="宋体" w:cs="宋体"/>
          <w:color w:val="auto"/>
          <w:spacing w:val="-3"/>
          <w:sz w:val="28"/>
          <w:szCs w:val="28"/>
          <w:highlight w:val="none"/>
        </w:rPr>
        <w:t>人民法院起诉。</w:t>
      </w:r>
    </w:p>
    <w:p w14:paraId="74898A14">
      <w:pPr>
        <w:keepNext w:val="0"/>
        <w:keepLines w:val="0"/>
        <w:pageBreakBefore w:val="0"/>
        <w:widowControl w:val="0"/>
        <w:numPr>
          <w:ilvl w:val="0"/>
          <w:numId w:val="26"/>
        </w:numPr>
        <w:tabs>
          <w:tab w:val="left" w:pos="777"/>
        </w:tabs>
        <w:kinsoku/>
        <w:wordWrap/>
        <w:overflowPunct/>
        <w:topLinePunct w:val="0"/>
        <w:autoSpaceDE/>
        <w:autoSpaceDN/>
        <w:bidi w:val="0"/>
        <w:adjustRightInd/>
        <w:snapToGrid/>
        <w:spacing w:before="1" w:line="500" w:lineRule="exact"/>
        <w:ind w:left="776" w:right="48" w:rightChars="23" w:hanging="445"/>
        <w:jc w:val="left"/>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补充条款</w:t>
      </w:r>
    </w:p>
    <w:p w14:paraId="7142AE0B">
      <w:pPr>
        <w:pStyle w:val="196"/>
        <w:keepNext w:val="0"/>
        <w:keepLines w:val="0"/>
        <w:pageBreakBefore w:val="0"/>
        <w:widowControl w:val="0"/>
        <w:numPr>
          <w:ilvl w:val="0"/>
          <w:numId w:val="0"/>
        </w:numPr>
        <w:tabs>
          <w:tab w:val="left" w:pos="885"/>
        </w:tabs>
        <w:kinsoku/>
        <w:wordWrap/>
        <w:overflowPunct/>
        <w:topLinePunct w:val="0"/>
        <w:autoSpaceDE/>
        <w:autoSpaceDN/>
        <w:bidi w:val="0"/>
        <w:adjustRightInd/>
        <w:snapToGrid/>
        <w:spacing w:before="0" w:after="0" w:line="500" w:lineRule="exact"/>
        <w:ind w:leftChars="200" w:right="48" w:rightChars="23"/>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lang w:val="en-US" w:eastAsia="zh-CN"/>
        </w:rPr>
        <w:t>21.1</w:t>
      </w:r>
      <w:r>
        <w:rPr>
          <w:rFonts w:hint="eastAsia" w:ascii="宋体" w:hAnsi="宋体" w:eastAsia="宋体" w:cs="宋体"/>
          <w:color w:val="auto"/>
          <w:spacing w:val="-3"/>
          <w:sz w:val="28"/>
          <w:szCs w:val="28"/>
          <w:highlight w:val="none"/>
        </w:rPr>
        <w:t>凡进入本工程工作的妇女应持有计生证、否则不准安排工作，禁止使用童工。</w:t>
      </w:r>
    </w:p>
    <w:p w14:paraId="3F717350">
      <w:pPr>
        <w:pageBreakBefore w:val="0"/>
        <w:kinsoku/>
        <w:overflowPunct/>
        <w:topLinePunct w:val="0"/>
        <w:bidi w:val="0"/>
        <w:snapToGrid/>
        <w:spacing w:before="196" w:line="560" w:lineRule="exact"/>
        <w:ind w:left="332" w:right="48" w:rightChars="23" w:firstLine="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7BAAEA38">
      <w:pPr>
        <w:pStyle w:val="19"/>
        <w:keepNext w:val="0"/>
        <w:keepLines w:val="0"/>
        <w:pageBreakBefore w:val="0"/>
        <w:widowControl w:val="0"/>
        <w:kinsoku/>
        <w:wordWrap/>
        <w:overflowPunct/>
        <w:topLinePunct w:val="0"/>
        <w:bidi w:val="0"/>
        <w:snapToGrid/>
        <w:spacing w:before="2" w:line="560" w:lineRule="exact"/>
        <w:ind w:left="332" w:right="48" w:rightChars="23"/>
        <w:jc w:val="both"/>
        <w:textAlignment w:val="auto"/>
        <w:rPr>
          <w:rFonts w:hint="eastAsia" w:ascii="宋体" w:hAnsi="宋体" w:eastAsia="宋体" w:cs="宋体"/>
          <w:lang w:val="en-US" w:eastAsia="zh-CN"/>
        </w:rPr>
      </w:pPr>
      <w:r>
        <w:rPr>
          <w:rFonts w:hint="eastAsia" w:ascii="宋体" w:hAnsi="宋体" w:eastAsia="宋体" w:cs="宋体"/>
          <w:color w:val="auto"/>
          <w:spacing w:val="-18"/>
          <w:sz w:val="28"/>
          <w:szCs w:val="28"/>
          <w:highlight w:val="none"/>
          <w:lang w:eastAsia="zh-CN"/>
        </w:rPr>
        <w:t>附件</w:t>
      </w:r>
      <w:r>
        <w:rPr>
          <w:rFonts w:hint="eastAsia" w:ascii="宋体" w:hAnsi="宋体" w:eastAsia="宋体" w:cs="宋体"/>
          <w:color w:val="auto"/>
          <w:spacing w:val="-18"/>
          <w:sz w:val="28"/>
          <w:szCs w:val="28"/>
          <w:highlight w:val="none"/>
          <w:lang w:val="en-US" w:eastAsia="zh-CN"/>
        </w:rPr>
        <w:t xml:space="preserve"> 1：</w:t>
      </w:r>
      <w:bookmarkStart w:id="182" w:name="OLE_LINK2"/>
      <w:r>
        <w:rPr>
          <w:rFonts w:hint="eastAsia" w:ascii="宋体" w:hAnsi="宋体" w:eastAsia="宋体" w:cs="宋体"/>
          <w:color w:val="auto"/>
          <w:spacing w:val="-18"/>
          <w:sz w:val="28"/>
          <w:szCs w:val="28"/>
          <w:highlight w:val="none"/>
          <w:lang w:val="en-US" w:eastAsia="zh-CN"/>
        </w:rPr>
        <w:t>承包人主要施工管理人员表</w:t>
      </w:r>
    </w:p>
    <w:bookmarkEnd w:id="182"/>
    <w:p w14:paraId="3B4047A5">
      <w:pPr>
        <w:keepNext w:val="0"/>
        <w:keepLines w:val="0"/>
        <w:pageBreakBefore w:val="0"/>
        <w:widowControl w:val="0"/>
        <w:kinsoku/>
        <w:wordWrap/>
        <w:overflowPunct/>
        <w:topLinePunct w:val="0"/>
        <w:bidi w:val="0"/>
        <w:snapToGrid/>
        <w:spacing w:line="560" w:lineRule="exact"/>
        <w:textAlignment w:val="auto"/>
        <w:rPr>
          <w:rFonts w:hint="eastAsia" w:ascii="宋体" w:hAnsi="宋体" w:eastAsia="宋体" w:cs="宋体"/>
          <w:lang w:val="en-US" w:eastAsia="zh-CN"/>
        </w:rPr>
      </w:pPr>
      <w:r>
        <w:rPr>
          <w:rFonts w:hint="eastAsia" w:ascii="宋体" w:hAnsi="宋体" w:eastAsia="宋体" w:cs="宋体"/>
          <w:color w:val="auto"/>
          <w:spacing w:val="-18"/>
          <w:sz w:val="28"/>
          <w:szCs w:val="28"/>
          <w:highlight w:val="none"/>
          <w:lang w:val="en-US" w:eastAsia="zh-CN"/>
        </w:rPr>
        <w:t xml:space="preserve">   附件 2：</w:t>
      </w:r>
      <w:bookmarkStart w:id="183" w:name="OLE_LINK3"/>
      <w:r>
        <w:rPr>
          <w:rFonts w:hint="eastAsia" w:ascii="宋体" w:hAnsi="宋体" w:eastAsia="宋体" w:cs="宋体"/>
          <w:color w:val="auto"/>
          <w:spacing w:val="-18"/>
          <w:sz w:val="28"/>
          <w:szCs w:val="28"/>
          <w:highlight w:val="none"/>
          <w:lang w:val="en-US" w:eastAsia="zh-CN"/>
        </w:rPr>
        <w:t>承包人用于本工程施工的机械设备表</w:t>
      </w:r>
      <w:bookmarkEnd w:id="183"/>
    </w:p>
    <w:p w14:paraId="11B2B5AF">
      <w:pPr>
        <w:pStyle w:val="19"/>
        <w:keepNext w:val="0"/>
        <w:keepLines w:val="0"/>
        <w:pageBreakBefore w:val="0"/>
        <w:widowControl w:val="0"/>
        <w:kinsoku/>
        <w:wordWrap/>
        <w:overflowPunct/>
        <w:topLinePunct w:val="0"/>
        <w:bidi w:val="0"/>
        <w:snapToGrid/>
        <w:spacing w:before="2" w:line="560" w:lineRule="exact"/>
        <w:ind w:left="332" w:right="48" w:rightChars="23"/>
        <w:jc w:val="both"/>
        <w:textAlignment w:val="auto"/>
        <w:rPr>
          <w:rFonts w:hint="eastAsia" w:ascii="宋体" w:hAnsi="宋体" w:eastAsia="宋体" w:cs="宋体"/>
          <w:color w:val="auto"/>
          <w:spacing w:val="-3"/>
          <w:sz w:val="28"/>
          <w:szCs w:val="28"/>
          <w:highlight w:val="none"/>
          <w:lang w:eastAsia="zh-CN"/>
        </w:rPr>
      </w:pPr>
      <w:r>
        <w:rPr>
          <w:rFonts w:hint="eastAsia" w:ascii="宋体" w:hAnsi="宋体" w:eastAsia="宋体" w:cs="宋体"/>
          <w:color w:val="auto"/>
          <w:spacing w:val="-18"/>
          <w:sz w:val="28"/>
          <w:szCs w:val="28"/>
          <w:highlight w:val="none"/>
        </w:rPr>
        <w:t xml:space="preserve">附件 </w:t>
      </w:r>
      <w:r>
        <w:rPr>
          <w:rFonts w:hint="eastAsia" w:ascii="宋体" w:hAnsi="宋体" w:eastAsia="宋体" w:cs="宋体"/>
          <w:color w:val="auto"/>
          <w:spacing w:val="-18"/>
          <w:sz w:val="28"/>
          <w:szCs w:val="28"/>
          <w:highlight w:val="none"/>
          <w:lang w:val="en-US" w:eastAsia="zh-CN"/>
        </w:rPr>
        <w:t>3</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rPr>
        <w:t>工程质量保修书</w:t>
      </w:r>
      <w:r>
        <w:rPr>
          <w:rFonts w:hint="eastAsia" w:ascii="宋体" w:hAnsi="宋体" w:eastAsia="宋体" w:cs="宋体"/>
          <w:color w:val="auto"/>
          <w:spacing w:val="-3"/>
          <w:sz w:val="28"/>
          <w:szCs w:val="28"/>
          <w:highlight w:val="none"/>
          <w:lang w:eastAsia="zh-CN"/>
        </w:rPr>
        <w:t>（公路工程）、安全生产合同、廉政合同</w:t>
      </w:r>
    </w:p>
    <w:p w14:paraId="3D4D8C2C">
      <w:pPr>
        <w:pStyle w:val="19"/>
        <w:keepNext w:val="0"/>
        <w:keepLines w:val="0"/>
        <w:pageBreakBefore w:val="0"/>
        <w:widowControl w:val="0"/>
        <w:kinsoku/>
        <w:wordWrap/>
        <w:overflowPunct/>
        <w:topLinePunct w:val="0"/>
        <w:bidi w:val="0"/>
        <w:snapToGrid/>
        <w:spacing w:before="2" w:line="560" w:lineRule="exact"/>
        <w:ind w:left="332" w:right="48" w:rightChars="23"/>
        <w:jc w:val="both"/>
        <w:textAlignment w:val="auto"/>
        <w:rPr>
          <w:rFonts w:hint="eastAsia" w:ascii="宋体" w:hAnsi="宋体" w:eastAsia="宋体" w:cs="宋体"/>
          <w:lang w:val="en-US" w:eastAsia="zh-CN"/>
        </w:rPr>
      </w:pPr>
      <w:r>
        <w:rPr>
          <w:rFonts w:hint="eastAsia" w:ascii="宋体" w:hAnsi="宋体" w:eastAsia="宋体" w:cs="宋体"/>
          <w:color w:val="auto"/>
          <w:spacing w:val="-18"/>
          <w:sz w:val="28"/>
          <w:szCs w:val="28"/>
          <w:highlight w:val="none"/>
        </w:rPr>
        <w:t xml:space="preserve">附件 </w:t>
      </w:r>
      <w:r>
        <w:rPr>
          <w:rFonts w:hint="eastAsia" w:ascii="宋体" w:hAnsi="宋体" w:eastAsia="宋体" w:cs="宋体"/>
          <w:color w:val="auto"/>
          <w:spacing w:val="-18"/>
          <w:sz w:val="28"/>
          <w:szCs w:val="28"/>
          <w:highlight w:val="none"/>
          <w:lang w:val="en-US" w:eastAsia="zh-CN"/>
        </w:rPr>
        <w:t>4</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lang w:val="en-US" w:eastAsia="zh-CN"/>
        </w:rPr>
        <w:t>公司资质</w:t>
      </w:r>
    </w:p>
    <w:p w14:paraId="2F126B5C">
      <w:pPr>
        <w:pStyle w:val="19"/>
        <w:keepNext w:val="0"/>
        <w:keepLines w:val="0"/>
        <w:pageBreakBefore w:val="0"/>
        <w:widowControl w:val="0"/>
        <w:kinsoku/>
        <w:wordWrap/>
        <w:overflowPunct/>
        <w:topLinePunct w:val="0"/>
        <w:bidi w:val="0"/>
        <w:snapToGrid/>
        <w:spacing w:before="2" w:line="560" w:lineRule="exact"/>
        <w:ind w:left="332" w:right="48" w:rightChars="23"/>
        <w:jc w:val="both"/>
        <w:textAlignment w:val="auto"/>
        <w:rPr>
          <w:rFonts w:hint="eastAsia" w:ascii="宋体" w:hAnsi="宋体" w:eastAsia="宋体" w:cs="宋体"/>
          <w:color w:val="auto"/>
          <w:spacing w:val="-3"/>
          <w:sz w:val="28"/>
          <w:szCs w:val="28"/>
          <w:highlight w:val="none"/>
          <w:lang w:val="en-US" w:eastAsia="zh-CN"/>
        </w:rPr>
      </w:pPr>
      <w:r>
        <w:rPr>
          <w:rFonts w:hint="eastAsia" w:ascii="宋体" w:hAnsi="宋体" w:eastAsia="宋体" w:cs="宋体"/>
          <w:color w:val="auto"/>
          <w:spacing w:val="-18"/>
          <w:sz w:val="28"/>
          <w:szCs w:val="28"/>
          <w:highlight w:val="none"/>
        </w:rPr>
        <w:t xml:space="preserve">附件 </w:t>
      </w:r>
      <w:r>
        <w:rPr>
          <w:rFonts w:hint="eastAsia" w:ascii="宋体" w:hAnsi="宋体" w:eastAsia="宋体" w:cs="宋体"/>
          <w:color w:val="auto"/>
          <w:spacing w:val="-18"/>
          <w:sz w:val="28"/>
          <w:szCs w:val="28"/>
          <w:highlight w:val="none"/>
          <w:lang w:val="en-US" w:eastAsia="zh-CN"/>
        </w:rPr>
        <w:t>5: 中标通知书</w:t>
      </w:r>
    </w:p>
    <w:p w14:paraId="299F1FD0">
      <w:pPr>
        <w:pStyle w:val="19"/>
        <w:keepNext w:val="0"/>
        <w:keepLines w:val="0"/>
        <w:pageBreakBefore w:val="0"/>
        <w:widowControl w:val="0"/>
        <w:kinsoku/>
        <w:wordWrap/>
        <w:overflowPunct/>
        <w:topLinePunct w:val="0"/>
        <w:bidi w:val="0"/>
        <w:snapToGrid/>
        <w:spacing w:before="2" w:line="560" w:lineRule="exact"/>
        <w:ind w:left="332" w:right="48" w:rightChars="23"/>
        <w:jc w:val="both"/>
        <w:textAlignment w:val="auto"/>
        <w:rPr>
          <w:rFonts w:hint="eastAsia" w:ascii="宋体" w:hAnsi="宋体" w:eastAsia="宋体" w:cs="宋体"/>
          <w:color w:val="auto"/>
          <w:spacing w:val="-3"/>
          <w:sz w:val="28"/>
          <w:szCs w:val="28"/>
          <w:highlight w:val="none"/>
          <w:lang w:val="en-US" w:eastAsia="zh-CN"/>
        </w:rPr>
      </w:pPr>
      <w:r>
        <w:rPr>
          <w:rFonts w:hint="eastAsia" w:ascii="宋体" w:hAnsi="宋体" w:eastAsia="宋体" w:cs="宋体"/>
          <w:color w:val="auto"/>
          <w:spacing w:val="-18"/>
          <w:sz w:val="28"/>
          <w:szCs w:val="28"/>
          <w:highlight w:val="none"/>
        </w:rPr>
        <w:t>附件</w:t>
      </w:r>
      <w:r>
        <w:rPr>
          <w:rFonts w:hint="eastAsia" w:ascii="宋体" w:hAnsi="宋体" w:eastAsia="宋体" w:cs="宋体"/>
          <w:color w:val="auto"/>
          <w:spacing w:val="-18"/>
          <w:sz w:val="28"/>
          <w:szCs w:val="28"/>
          <w:highlight w:val="none"/>
          <w:lang w:val="en-US" w:eastAsia="zh-CN"/>
        </w:rPr>
        <w:t xml:space="preserve"> 6</w:t>
      </w:r>
      <w:r>
        <w:rPr>
          <w:rFonts w:hint="eastAsia" w:ascii="宋体" w:hAnsi="宋体" w:eastAsia="宋体" w:cs="宋体"/>
          <w:color w:val="auto"/>
          <w:sz w:val="28"/>
          <w:szCs w:val="28"/>
          <w:highlight w:val="none"/>
        </w:rPr>
        <w:t>：</w:t>
      </w:r>
      <w:r>
        <w:rPr>
          <w:rFonts w:hint="eastAsia" w:ascii="宋体" w:hAnsi="宋体" w:eastAsia="宋体" w:cs="宋体"/>
          <w:color w:val="auto"/>
          <w:spacing w:val="-3"/>
          <w:sz w:val="28"/>
          <w:szCs w:val="28"/>
          <w:highlight w:val="none"/>
          <w:lang w:val="en-US" w:eastAsia="zh-CN"/>
        </w:rPr>
        <w:t>工程量清单</w:t>
      </w:r>
    </w:p>
    <w:p w14:paraId="6FFF1FE3">
      <w:pPr>
        <w:rPr>
          <w:rFonts w:hint="eastAsia" w:ascii="宋体" w:hAnsi="宋体" w:eastAsia="宋体" w:cs="宋体"/>
          <w:lang w:val="en-US" w:eastAsia="zh-CN"/>
        </w:rPr>
      </w:pPr>
    </w:p>
    <w:p w14:paraId="0470FBE6">
      <w:pPr>
        <w:pStyle w:val="19"/>
        <w:keepNext w:val="0"/>
        <w:keepLines w:val="0"/>
        <w:pageBreakBefore w:val="0"/>
        <w:widowControl w:val="0"/>
        <w:kinsoku/>
        <w:wordWrap/>
        <w:overflowPunct/>
        <w:topLinePunct w:val="0"/>
        <w:bidi w:val="0"/>
        <w:snapToGrid/>
        <w:spacing w:before="2" w:line="560" w:lineRule="exact"/>
        <w:ind w:right="48" w:rightChars="23"/>
        <w:jc w:val="both"/>
        <w:textAlignment w:val="auto"/>
        <w:rPr>
          <w:rFonts w:hint="eastAsia" w:ascii="宋体" w:hAnsi="宋体" w:eastAsia="宋体" w:cs="宋体"/>
          <w:color w:val="auto"/>
          <w:spacing w:val="-18"/>
          <w:sz w:val="28"/>
          <w:szCs w:val="28"/>
          <w:highlight w:val="none"/>
          <w:lang w:val="en-US" w:eastAsia="zh-CN"/>
        </w:rPr>
      </w:pPr>
    </w:p>
    <w:p w14:paraId="32C77555">
      <w:pPr>
        <w:pStyle w:val="19"/>
        <w:keepNext w:val="0"/>
        <w:keepLines w:val="0"/>
        <w:pageBreakBefore w:val="0"/>
        <w:widowControl w:val="0"/>
        <w:kinsoku/>
        <w:wordWrap/>
        <w:overflowPunct/>
        <w:topLinePunct w:val="0"/>
        <w:bidi w:val="0"/>
        <w:snapToGrid/>
        <w:spacing w:before="2" w:line="560" w:lineRule="exact"/>
        <w:ind w:right="48" w:rightChars="23"/>
        <w:jc w:val="both"/>
        <w:textAlignment w:val="auto"/>
        <w:rPr>
          <w:rFonts w:hint="eastAsia" w:ascii="宋体" w:hAnsi="宋体" w:eastAsia="宋体" w:cs="宋体"/>
          <w:color w:val="auto"/>
          <w:spacing w:val="-18"/>
          <w:sz w:val="28"/>
          <w:szCs w:val="28"/>
          <w:highlight w:val="none"/>
          <w:lang w:val="en-US" w:eastAsia="zh-CN"/>
        </w:rPr>
      </w:pPr>
    </w:p>
    <w:p w14:paraId="2C0917FC">
      <w:pPr>
        <w:pStyle w:val="19"/>
        <w:keepNext w:val="0"/>
        <w:keepLines w:val="0"/>
        <w:pageBreakBefore w:val="0"/>
        <w:widowControl w:val="0"/>
        <w:kinsoku/>
        <w:wordWrap/>
        <w:overflowPunct/>
        <w:topLinePunct w:val="0"/>
        <w:bidi w:val="0"/>
        <w:snapToGrid/>
        <w:spacing w:before="2" w:line="560" w:lineRule="exact"/>
        <w:ind w:right="48" w:rightChars="23"/>
        <w:jc w:val="both"/>
        <w:textAlignment w:val="auto"/>
        <w:rPr>
          <w:rFonts w:hint="eastAsia" w:ascii="宋体" w:hAnsi="宋体" w:eastAsia="宋体" w:cs="宋体"/>
          <w:color w:val="auto"/>
          <w:spacing w:val="-18"/>
          <w:sz w:val="28"/>
          <w:szCs w:val="28"/>
          <w:highlight w:val="none"/>
          <w:lang w:val="en-US" w:eastAsia="zh-CN"/>
        </w:rPr>
      </w:pPr>
      <w:r>
        <w:rPr>
          <w:rFonts w:hint="eastAsia" w:ascii="宋体" w:hAnsi="宋体" w:eastAsia="宋体" w:cs="宋体"/>
          <w:color w:val="auto"/>
          <w:spacing w:val="-18"/>
          <w:sz w:val="28"/>
          <w:szCs w:val="28"/>
          <w:highlight w:val="none"/>
          <w:lang w:val="en-US" w:eastAsia="zh-CN"/>
        </w:rPr>
        <w:t>附件1：</w:t>
      </w:r>
    </w:p>
    <w:p w14:paraId="0D0DB772">
      <w:pPr>
        <w:pageBreakBefore w:val="0"/>
        <w:kinsoku/>
        <w:overflowPunct/>
        <w:topLinePunct w:val="0"/>
        <w:bidi w:val="0"/>
        <w:snapToGrid/>
        <w:spacing w:before="66" w:line="500" w:lineRule="exact"/>
        <w:ind w:left="0" w:right="0" w:firstLine="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承包人主要施工管理人员表</w:t>
      </w:r>
    </w:p>
    <w:tbl>
      <w:tblPr>
        <w:tblStyle w:val="45"/>
        <w:tblW w:w="0" w:type="auto"/>
        <w:tblInd w:w="2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71"/>
        <w:gridCol w:w="1418"/>
        <w:gridCol w:w="1399"/>
        <w:gridCol w:w="1433"/>
        <w:gridCol w:w="3688"/>
      </w:tblGrid>
      <w:tr w14:paraId="53593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noWrap w:val="0"/>
            <w:vAlign w:val="center"/>
          </w:tcPr>
          <w:p w14:paraId="0356CB96">
            <w:pPr>
              <w:pStyle w:val="202"/>
              <w:keepNext w:val="0"/>
              <w:keepLines w:val="0"/>
              <w:pageBreakBefore w:val="0"/>
              <w:widowControl w:val="0"/>
              <w:tabs>
                <w:tab w:val="left" w:pos="668"/>
              </w:tabs>
              <w:kinsoku/>
              <w:wordWrap/>
              <w:overflowPunct/>
              <w:topLinePunct w:val="0"/>
              <w:bidi w:val="0"/>
              <w:adjustRightInd/>
              <w:snapToGrid/>
              <w:spacing w:before="132"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称</w:t>
            </w:r>
          </w:p>
        </w:tc>
        <w:tc>
          <w:tcPr>
            <w:tcW w:w="1418" w:type="dxa"/>
            <w:noWrap w:val="0"/>
            <w:vAlign w:val="center"/>
          </w:tcPr>
          <w:p w14:paraId="17DD3DF4">
            <w:pPr>
              <w:pStyle w:val="202"/>
              <w:keepNext w:val="0"/>
              <w:keepLines w:val="0"/>
              <w:pageBreakBefore w:val="0"/>
              <w:widowControl w:val="0"/>
              <w:kinsoku/>
              <w:wordWrap/>
              <w:overflowPunct/>
              <w:topLinePunct w:val="0"/>
              <w:bidi w:val="0"/>
              <w:adjustRightInd/>
              <w:snapToGrid/>
              <w:spacing w:before="132" w:line="420" w:lineRule="exact"/>
              <w:ind w:left="469" w:right="459"/>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399" w:type="dxa"/>
            <w:noWrap w:val="0"/>
            <w:vAlign w:val="center"/>
          </w:tcPr>
          <w:p w14:paraId="2B6B448A">
            <w:pPr>
              <w:pStyle w:val="202"/>
              <w:keepNext w:val="0"/>
              <w:keepLines w:val="0"/>
              <w:pageBreakBefore w:val="0"/>
              <w:widowControl w:val="0"/>
              <w:kinsoku/>
              <w:wordWrap/>
              <w:overflowPunct/>
              <w:topLinePunct w:val="0"/>
              <w:bidi w:val="0"/>
              <w:adjustRightInd/>
              <w:snapToGrid/>
              <w:spacing w:before="132" w:line="420" w:lineRule="exact"/>
              <w:ind w:left="346"/>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1433" w:type="dxa"/>
            <w:noWrap w:val="0"/>
            <w:vAlign w:val="center"/>
          </w:tcPr>
          <w:p w14:paraId="11DA4C21">
            <w:pPr>
              <w:pStyle w:val="202"/>
              <w:keepNext w:val="0"/>
              <w:keepLines w:val="0"/>
              <w:pageBreakBefore w:val="0"/>
              <w:widowControl w:val="0"/>
              <w:kinsoku/>
              <w:wordWrap/>
              <w:overflowPunct/>
              <w:topLinePunct w:val="0"/>
              <w:bidi w:val="0"/>
              <w:adjustRightInd/>
              <w:snapToGrid/>
              <w:spacing w:before="132" w:line="420" w:lineRule="exact"/>
              <w:ind w:left="345"/>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w:t>
            </w:r>
          </w:p>
        </w:tc>
        <w:tc>
          <w:tcPr>
            <w:tcW w:w="3688" w:type="dxa"/>
            <w:noWrap w:val="0"/>
            <w:vAlign w:val="center"/>
          </w:tcPr>
          <w:p w14:paraId="006F6BC0">
            <w:pPr>
              <w:pStyle w:val="202"/>
              <w:keepNext w:val="0"/>
              <w:keepLines w:val="0"/>
              <w:pageBreakBefore w:val="0"/>
              <w:widowControl w:val="0"/>
              <w:kinsoku/>
              <w:wordWrap/>
              <w:overflowPunct/>
              <w:topLinePunct w:val="0"/>
              <w:bidi w:val="0"/>
              <w:adjustRightInd/>
              <w:snapToGrid/>
              <w:spacing w:before="132" w:line="420" w:lineRule="exact"/>
              <w:ind w:left="1445" w:right="1437"/>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计划进场时间</w:t>
            </w:r>
          </w:p>
        </w:tc>
      </w:tr>
      <w:tr w14:paraId="159CF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9809" w:type="dxa"/>
            <w:gridSpan w:val="5"/>
            <w:noWrap w:val="0"/>
            <w:vAlign w:val="center"/>
          </w:tcPr>
          <w:p w14:paraId="39E558F8">
            <w:pPr>
              <w:pStyle w:val="202"/>
              <w:keepNext w:val="0"/>
              <w:keepLines w:val="0"/>
              <w:pageBreakBefore w:val="0"/>
              <w:widowControl w:val="0"/>
              <w:kinsoku/>
              <w:wordWrap/>
              <w:overflowPunct/>
              <w:topLinePunct w:val="0"/>
              <w:bidi w:val="0"/>
              <w:adjustRightInd/>
              <w:snapToGrid/>
              <w:spacing w:before="133" w:line="420" w:lineRule="exact"/>
              <w:ind w:left="4223" w:right="4216"/>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一、总部人员</w:t>
            </w:r>
          </w:p>
        </w:tc>
      </w:tr>
      <w:tr w14:paraId="17231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noWrap w:val="0"/>
            <w:vAlign w:val="center"/>
          </w:tcPr>
          <w:p w14:paraId="05C9D507">
            <w:pPr>
              <w:pStyle w:val="202"/>
              <w:keepNext w:val="0"/>
              <w:keepLines w:val="0"/>
              <w:pageBreakBefore w:val="0"/>
              <w:widowControl w:val="0"/>
              <w:kinsoku/>
              <w:wordWrap/>
              <w:overflowPunct/>
              <w:topLinePunct w:val="0"/>
              <w:bidi w:val="0"/>
              <w:adjustRightInd/>
              <w:snapToGrid/>
              <w:spacing w:before="132"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项目主管</w:t>
            </w:r>
          </w:p>
        </w:tc>
        <w:tc>
          <w:tcPr>
            <w:tcW w:w="1418" w:type="dxa"/>
            <w:noWrap w:val="0"/>
            <w:vAlign w:val="center"/>
          </w:tcPr>
          <w:p w14:paraId="3A19DE7A">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eastAsia="zh-CN"/>
              </w:rPr>
            </w:pPr>
          </w:p>
        </w:tc>
        <w:tc>
          <w:tcPr>
            <w:tcW w:w="1399" w:type="dxa"/>
            <w:noWrap w:val="0"/>
            <w:vAlign w:val="center"/>
          </w:tcPr>
          <w:p w14:paraId="5C98B4C6">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eastAsia="zh-CN"/>
              </w:rPr>
            </w:pPr>
          </w:p>
        </w:tc>
        <w:tc>
          <w:tcPr>
            <w:tcW w:w="1433" w:type="dxa"/>
            <w:noWrap w:val="0"/>
            <w:vAlign w:val="center"/>
          </w:tcPr>
          <w:p w14:paraId="00582CAA">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eastAsia="zh-CN"/>
              </w:rPr>
            </w:pPr>
          </w:p>
        </w:tc>
        <w:tc>
          <w:tcPr>
            <w:tcW w:w="3688" w:type="dxa"/>
            <w:noWrap w:val="0"/>
            <w:vAlign w:val="center"/>
          </w:tcPr>
          <w:p w14:paraId="4BF743FC">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12870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restart"/>
            <w:noWrap w:val="0"/>
            <w:vAlign w:val="center"/>
          </w:tcPr>
          <w:p w14:paraId="5507EF85">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p w14:paraId="6D418A17">
            <w:pPr>
              <w:pStyle w:val="202"/>
              <w:keepNext w:val="0"/>
              <w:keepLines w:val="0"/>
              <w:pageBreakBefore w:val="0"/>
              <w:widowControl w:val="0"/>
              <w:kinsoku/>
              <w:wordWrap/>
              <w:overflowPunct/>
              <w:topLinePunct w:val="0"/>
              <w:bidi w:val="0"/>
              <w:adjustRightInd/>
              <w:snapToGrid/>
              <w:spacing w:before="2" w:line="420" w:lineRule="exact"/>
              <w:jc w:val="center"/>
              <w:textAlignment w:val="auto"/>
              <w:rPr>
                <w:rFonts w:hint="eastAsia" w:ascii="宋体" w:hAnsi="宋体" w:eastAsia="宋体" w:cs="宋体"/>
                <w:color w:val="auto"/>
                <w:sz w:val="24"/>
                <w:szCs w:val="24"/>
                <w:highlight w:val="none"/>
              </w:rPr>
            </w:pPr>
          </w:p>
          <w:p w14:paraId="1765AD17">
            <w:pPr>
              <w:pStyle w:val="202"/>
              <w:keepNext w:val="0"/>
              <w:keepLines w:val="0"/>
              <w:pageBreakBefore w:val="0"/>
              <w:widowControl w:val="0"/>
              <w:kinsoku/>
              <w:wordWrap/>
              <w:overflowPunct/>
              <w:topLinePunct w:val="0"/>
              <w:bidi w:val="0"/>
              <w:adjustRightInd/>
              <w:snapToGrid/>
              <w:spacing w:line="420" w:lineRule="exact"/>
              <w:ind w:left="494"/>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其他人员</w:t>
            </w:r>
          </w:p>
        </w:tc>
        <w:tc>
          <w:tcPr>
            <w:tcW w:w="1418" w:type="dxa"/>
            <w:noWrap w:val="0"/>
            <w:vAlign w:val="center"/>
          </w:tcPr>
          <w:p w14:paraId="3160698D">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08DCDF7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1400AD0B">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544AA065">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69BC1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34ADB902">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5EBEAF9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30E9C749">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1FAD81E0">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0A9DDD6C">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15ADA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764E6C42">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39B181F8">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4CFA5CCB">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74AB3179">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0868F438">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143AA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9809" w:type="dxa"/>
            <w:gridSpan w:val="5"/>
            <w:noWrap w:val="0"/>
            <w:vAlign w:val="center"/>
          </w:tcPr>
          <w:p w14:paraId="53371D09">
            <w:pPr>
              <w:pStyle w:val="202"/>
              <w:keepNext w:val="0"/>
              <w:keepLines w:val="0"/>
              <w:pageBreakBefore w:val="0"/>
              <w:widowControl w:val="0"/>
              <w:kinsoku/>
              <w:wordWrap/>
              <w:overflowPunct/>
              <w:topLinePunct w:val="0"/>
              <w:bidi w:val="0"/>
              <w:adjustRightInd/>
              <w:snapToGrid/>
              <w:spacing w:before="132" w:line="420" w:lineRule="exact"/>
              <w:ind w:left="4223" w:right="4216"/>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二、现场人员</w:t>
            </w:r>
          </w:p>
        </w:tc>
      </w:tr>
      <w:tr w14:paraId="4B934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noWrap w:val="0"/>
            <w:vAlign w:val="center"/>
          </w:tcPr>
          <w:p w14:paraId="31D00A99">
            <w:pPr>
              <w:pStyle w:val="202"/>
              <w:keepNext w:val="0"/>
              <w:keepLines w:val="0"/>
              <w:pageBreakBefore w:val="0"/>
              <w:widowControl w:val="0"/>
              <w:kinsoku/>
              <w:wordWrap/>
              <w:overflowPunct/>
              <w:topLinePunct w:val="0"/>
              <w:bidi w:val="0"/>
              <w:adjustRightInd/>
              <w:snapToGrid/>
              <w:spacing w:before="133"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418" w:type="dxa"/>
            <w:noWrap w:val="0"/>
            <w:vAlign w:val="center"/>
          </w:tcPr>
          <w:p w14:paraId="1D329B4C">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1399" w:type="dxa"/>
            <w:noWrap w:val="0"/>
            <w:vAlign w:val="center"/>
          </w:tcPr>
          <w:p w14:paraId="6E5A3231">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1433" w:type="dxa"/>
            <w:noWrap w:val="0"/>
            <w:vAlign w:val="center"/>
          </w:tcPr>
          <w:p w14:paraId="5CAA495B">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3688" w:type="dxa"/>
            <w:noWrap w:val="0"/>
            <w:vAlign w:val="center"/>
          </w:tcPr>
          <w:p w14:paraId="59FAE0C5">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r>
      <w:tr w14:paraId="18328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noWrap w:val="0"/>
            <w:vAlign w:val="center"/>
          </w:tcPr>
          <w:p w14:paraId="2DC84DE1">
            <w:pPr>
              <w:pStyle w:val="202"/>
              <w:keepNext w:val="0"/>
              <w:keepLines w:val="0"/>
              <w:pageBreakBefore w:val="0"/>
              <w:widowControl w:val="0"/>
              <w:kinsoku/>
              <w:wordWrap/>
              <w:overflowPunct/>
              <w:topLinePunct w:val="0"/>
              <w:bidi w:val="0"/>
              <w:adjustRightInd/>
              <w:snapToGrid/>
              <w:spacing w:before="132"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项目副经理</w:t>
            </w:r>
          </w:p>
        </w:tc>
        <w:tc>
          <w:tcPr>
            <w:tcW w:w="1418" w:type="dxa"/>
            <w:noWrap w:val="0"/>
            <w:vAlign w:val="center"/>
          </w:tcPr>
          <w:p w14:paraId="5AB30C1C">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433920B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1DB4EA76">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55D83FD5">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02883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871" w:type="dxa"/>
            <w:noWrap w:val="0"/>
            <w:vAlign w:val="center"/>
          </w:tcPr>
          <w:p w14:paraId="2FA3E003">
            <w:pPr>
              <w:pStyle w:val="202"/>
              <w:keepNext w:val="0"/>
              <w:keepLines w:val="0"/>
              <w:pageBreakBefore w:val="0"/>
              <w:widowControl w:val="0"/>
              <w:kinsoku/>
              <w:wordWrap/>
              <w:overflowPunct/>
              <w:topLinePunct w:val="0"/>
              <w:bidi w:val="0"/>
              <w:adjustRightInd/>
              <w:snapToGrid/>
              <w:spacing w:before="133"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418" w:type="dxa"/>
            <w:noWrap w:val="0"/>
            <w:vAlign w:val="center"/>
          </w:tcPr>
          <w:p w14:paraId="41285233">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1399" w:type="dxa"/>
            <w:noWrap w:val="0"/>
            <w:vAlign w:val="center"/>
          </w:tcPr>
          <w:p w14:paraId="6AEDD3AD">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1433" w:type="dxa"/>
            <w:noWrap w:val="0"/>
            <w:vAlign w:val="center"/>
          </w:tcPr>
          <w:p w14:paraId="5E5E702D">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3688" w:type="dxa"/>
            <w:noWrap w:val="0"/>
            <w:vAlign w:val="center"/>
          </w:tcPr>
          <w:p w14:paraId="7F27D60E">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2B944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noWrap w:val="0"/>
            <w:vAlign w:val="center"/>
          </w:tcPr>
          <w:p w14:paraId="37F64058">
            <w:pPr>
              <w:pStyle w:val="202"/>
              <w:keepNext w:val="0"/>
              <w:keepLines w:val="0"/>
              <w:pageBreakBefore w:val="0"/>
              <w:widowControl w:val="0"/>
              <w:kinsoku/>
              <w:wordWrap/>
              <w:overflowPunct/>
              <w:topLinePunct w:val="0"/>
              <w:bidi w:val="0"/>
              <w:adjustRightInd/>
              <w:snapToGrid/>
              <w:spacing w:before="132"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造价管理</w:t>
            </w:r>
          </w:p>
        </w:tc>
        <w:tc>
          <w:tcPr>
            <w:tcW w:w="1418" w:type="dxa"/>
            <w:noWrap w:val="0"/>
            <w:vAlign w:val="center"/>
          </w:tcPr>
          <w:p w14:paraId="23013DD6">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eastAsia="zh-CN"/>
              </w:rPr>
            </w:pPr>
          </w:p>
        </w:tc>
        <w:tc>
          <w:tcPr>
            <w:tcW w:w="1399" w:type="dxa"/>
            <w:noWrap w:val="0"/>
            <w:vAlign w:val="center"/>
          </w:tcPr>
          <w:p w14:paraId="3CF96849">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eastAsia="zh-CN"/>
              </w:rPr>
            </w:pPr>
          </w:p>
        </w:tc>
        <w:tc>
          <w:tcPr>
            <w:tcW w:w="1433" w:type="dxa"/>
            <w:noWrap w:val="0"/>
            <w:vAlign w:val="center"/>
          </w:tcPr>
          <w:p w14:paraId="79E4C670">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3688" w:type="dxa"/>
            <w:noWrap w:val="0"/>
            <w:vAlign w:val="center"/>
          </w:tcPr>
          <w:p w14:paraId="02843FDD">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1AD92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restart"/>
            <w:noWrap w:val="0"/>
            <w:vAlign w:val="center"/>
          </w:tcPr>
          <w:p w14:paraId="775D873F">
            <w:pPr>
              <w:pStyle w:val="202"/>
              <w:keepNext w:val="0"/>
              <w:keepLines w:val="0"/>
              <w:pageBreakBefore w:val="0"/>
              <w:widowControl w:val="0"/>
              <w:kinsoku/>
              <w:wordWrap/>
              <w:overflowPunct/>
              <w:topLinePunct w:val="0"/>
              <w:bidi w:val="0"/>
              <w:adjustRightInd/>
              <w:snapToGrid/>
              <w:spacing w:line="42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质量管理</w:t>
            </w:r>
          </w:p>
        </w:tc>
        <w:tc>
          <w:tcPr>
            <w:tcW w:w="1418" w:type="dxa"/>
            <w:noWrap w:val="0"/>
            <w:vAlign w:val="center"/>
          </w:tcPr>
          <w:p w14:paraId="09B98F65">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8"/>
                <w:szCs w:val="28"/>
                <w:lang w:val="en-US" w:eastAsia="zh-CN" w:bidi="ar-SA"/>
              </w:rPr>
            </w:pPr>
          </w:p>
        </w:tc>
        <w:tc>
          <w:tcPr>
            <w:tcW w:w="1399" w:type="dxa"/>
            <w:noWrap w:val="0"/>
            <w:vAlign w:val="center"/>
          </w:tcPr>
          <w:p w14:paraId="12B27F13">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4"/>
                <w:szCs w:val="24"/>
                <w:lang w:val="en-US" w:eastAsia="zh-CN" w:bidi="ar-SA"/>
              </w:rPr>
            </w:pPr>
          </w:p>
        </w:tc>
        <w:tc>
          <w:tcPr>
            <w:tcW w:w="1433" w:type="dxa"/>
            <w:noWrap w:val="0"/>
            <w:vAlign w:val="center"/>
          </w:tcPr>
          <w:p w14:paraId="12486F7E">
            <w:pPr>
              <w:pStyle w:val="19"/>
              <w:keepNext w:val="0"/>
              <w:keepLines w:val="0"/>
              <w:pageBreakBefore w:val="0"/>
              <w:widowControl w:val="0"/>
              <w:kinsoku/>
              <w:wordWrap/>
              <w:overflowPunct/>
              <w:topLinePunct w:val="0"/>
              <w:bidi w:val="0"/>
              <w:adjustRightInd/>
              <w:snapToGrid/>
              <w:spacing w:line="420" w:lineRule="exact"/>
              <w:ind w:left="63" w:leftChars="0" w:right="63" w:rightChars="0"/>
              <w:textAlignment w:val="auto"/>
              <w:rPr>
                <w:rFonts w:hint="eastAsia" w:ascii="宋体" w:hAnsi="宋体" w:eastAsia="宋体" w:cs="宋体"/>
                <w:color w:val="000000"/>
                <w:kern w:val="0"/>
                <w:sz w:val="24"/>
                <w:szCs w:val="24"/>
                <w:lang w:val="en-US" w:eastAsia="zh-CN" w:bidi="ar-SA"/>
              </w:rPr>
            </w:pPr>
          </w:p>
        </w:tc>
        <w:tc>
          <w:tcPr>
            <w:tcW w:w="3688" w:type="dxa"/>
            <w:noWrap w:val="0"/>
            <w:vAlign w:val="center"/>
          </w:tcPr>
          <w:p w14:paraId="18986833">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64A458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50B2D300">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4968FBD1">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37B3C92A">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54CDD348">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0CC27851">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6C481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3640ECE8">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24C1410E">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62234B43">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0DC4812C">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7A50F096">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5545E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noWrap w:val="0"/>
            <w:vAlign w:val="center"/>
          </w:tcPr>
          <w:p w14:paraId="642C2BE8">
            <w:pPr>
              <w:pStyle w:val="202"/>
              <w:keepNext w:val="0"/>
              <w:keepLines w:val="0"/>
              <w:pageBreakBefore w:val="0"/>
              <w:widowControl w:val="0"/>
              <w:kinsoku/>
              <w:wordWrap/>
              <w:overflowPunct/>
              <w:topLinePunct w:val="0"/>
              <w:bidi w:val="0"/>
              <w:adjustRightInd/>
              <w:snapToGrid/>
              <w:spacing w:before="132"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材料管理</w:t>
            </w:r>
          </w:p>
        </w:tc>
        <w:tc>
          <w:tcPr>
            <w:tcW w:w="1418" w:type="dxa"/>
            <w:noWrap w:val="0"/>
            <w:vAlign w:val="center"/>
          </w:tcPr>
          <w:p w14:paraId="1E95FFF8">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4"/>
                <w:szCs w:val="24"/>
                <w:lang w:val="en-US" w:eastAsia="zh-CN" w:bidi="ar-SA"/>
              </w:rPr>
            </w:pPr>
          </w:p>
        </w:tc>
        <w:tc>
          <w:tcPr>
            <w:tcW w:w="1399" w:type="dxa"/>
            <w:noWrap w:val="0"/>
            <w:vAlign w:val="center"/>
          </w:tcPr>
          <w:p w14:paraId="556E5F49">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4"/>
                <w:szCs w:val="24"/>
                <w:lang w:val="en-US" w:eastAsia="zh-CN" w:bidi="ar-SA"/>
              </w:rPr>
            </w:pPr>
          </w:p>
        </w:tc>
        <w:tc>
          <w:tcPr>
            <w:tcW w:w="1433" w:type="dxa"/>
            <w:noWrap w:val="0"/>
            <w:vAlign w:val="center"/>
          </w:tcPr>
          <w:p w14:paraId="51652349">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4"/>
                <w:szCs w:val="24"/>
                <w:lang w:val="en-US" w:eastAsia="zh-CN" w:bidi="ar-SA"/>
              </w:rPr>
            </w:pPr>
          </w:p>
        </w:tc>
        <w:tc>
          <w:tcPr>
            <w:tcW w:w="3688" w:type="dxa"/>
            <w:noWrap w:val="0"/>
            <w:vAlign w:val="center"/>
          </w:tcPr>
          <w:p w14:paraId="52A26776">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30A2D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noWrap w:val="0"/>
            <w:vAlign w:val="center"/>
          </w:tcPr>
          <w:p w14:paraId="020350DC">
            <w:pPr>
              <w:pStyle w:val="202"/>
              <w:keepNext w:val="0"/>
              <w:keepLines w:val="0"/>
              <w:pageBreakBefore w:val="0"/>
              <w:widowControl w:val="0"/>
              <w:kinsoku/>
              <w:wordWrap/>
              <w:overflowPunct/>
              <w:topLinePunct w:val="0"/>
              <w:bidi w:val="0"/>
              <w:adjustRightInd/>
              <w:snapToGrid/>
              <w:spacing w:before="133" w:line="420" w:lineRule="exact"/>
              <w:ind w:left="8"/>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计划管理</w:t>
            </w:r>
          </w:p>
        </w:tc>
        <w:tc>
          <w:tcPr>
            <w:tcW w:w="1418" w:type="dxa"/>
            <w:noWrap w:val="0"/>
            <w:vAlign w:val="center"/>
          </w:tcPr>
          <w:p w14:paraId="6A4D13B6">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7356899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6B38BF5E">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19F7F221">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4E56E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restart"/>
            <w:noWrap w:val="0"/>
            <w:vAlign w:val="center"/>
          </w:tcPr>
          <w:p w14:paraId="6943568B">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安全管理</w:t>
            </w:r>
          </w:p>
        </w:tc>
        <w:tc>
          <w:tcPr>
            <w:tcW w:w="1418" w:type="dxa"/>
            <w:noWrap w:val="0"/>
            <w:vAlign w:val="center"/>
          </w:tcPr>
          <w:p w14:paraId="08B40E8E">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4"/>
                <w:szCs w:val="24"/>
                <w:lang w:val="en-US" w:eastAsia="zh-CN" w:bidi="ar-SA"/>
              </w:rPr>
            </w:pPr>
          </w:p>
        </w:tc>
        <w:tc>
          <w:tcPr>
            <w:tcW w:w="1399" w:type="dxa"/>
            <w:noWrap w:val="0"/>
            <w:vAlign w:val="center"/>
          </w:tcPr>
          <w:p w14:paraId="09AC9AFA">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4"/>
                <w:szCs w:val="24"/>
                <w:lang w:val="en-US" w:eastAsia="zh-CN" w:bidi="ar-SA"/>
              </w:rPr>
            </w:pPr>
          </w:p>
        </w:tc>
        <w:tc>
          <w:tcPr>
            <w:tcW w:w="1433" w:type="dxa"/>
            <w:noWrap w:val="0"/>
            <w:vAlign w:val="center"/>
          </w:tcPr>
          <w:p w14:paraId="5A9F53E5">
            <w:pPr>
              <w:pStyle w:val="19"/>
              <w:keepNext w:val="0"/>
              <w:keepLines w:val="0"/>
              <w:pageBreakBefore w:val="0"/>
              <w:widowControl w:val="0"/>
              <w:kinsoku/>
              <w:wordWrap/>
              <w:overflowPunct/>
              <w:topLinePunct w:val="0"/>
              <w:bidi w:val="0"/>
              <w:adjustRightInd/>
              <w:snapToGrid/>
              <w:spacing w:line="420" w:lineRule="exact"/>
              <w:ind w:left="63" w:leftChars="0" w:right="63" w:rightChars="0"/>
              <w:jc w:val="center"/>
              <w:textAlignment w:val="auto"/>
              <w:rPr>
                <w:rFonts w:hint="eastAsia" w:ascii="宋体" w:hAnsi="宋体" w:eastAsia="宋体" w:cs="宋体"/>
                <w:color w:val="000000"/>
                <w:kern w:val="0"/>
                <w:sz w:val="24"/>
                <w:szCs w:val="24"/>
                <w:lang w:val="en-US" w:eastAsia="zh-CN" w:bidi="ar-SA"/>
              </w:rPr>
            </w:pPr>
          </w:p>
        </w:tc>
        <w:tc>
          <w:tcPr>
            <w:tcW w:w="3688" w:type="dxa"/>
            <w:noWrap w:val="0"/>
            <w:vAlign w:val="center"/>
          </w:tcPr>
          <w:p w14:paraId="6C467903">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7FE37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871" w:type="dxa"/>
            <w:vMerge w:val="continue"/>
            <w:tcBorders>
              <w:top w:val="nil"/>
            </w:tcBorders>
            <w:noWrap w:val="0"/>
            <w:vAlign w:val="center"/>
          </w:tcPr>
          <w:p w14:paraId="714F937E">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5BF259D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3ABEBB3A">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65A5F69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1C81256E">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74386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11279DF8">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5BD4BF15">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27F2D3C4">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7981404D">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0B9C6103">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3E1FE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restart"/>
            <w:noWrap w:val="0"/>
            <w:vAlign w:val="center"/>
          </w:tcPr>
          <w:p w14:paraId="06F0465B">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其他人员</w:t>
            </w:r>
          </w:p>
        </w:tc>
        <w:tc>
          <w:tcPr>
            <w:tcW w:w="1418" w:type="dxa"/>
            <w:noWrap w:val="0"/>
            <w:vAlign w:val="center"/>
          </w:tcPr>
          <w:p w14:paraId="441DC009">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1399" w:type="dxa"/>
            <w:noWrap w:val="0"/>
            <w:vAlign w:val="center"/>
          </w:tcPr>
          <w:p w14:paraId="591EECF4">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1433" w:type="dxa"/>
            <w:noWrap w:val="0"/>
            <w:vAlign w:val="center"/>
          </w:tcPr>
          <w:p w14:paraId="417B1C59">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lang w:val="en-US" w:eastAsia="zh-CN"/>
              </w:rPr>
            </w:pPr>
          </w:p>
        </w:tc>
        <w:tc>
          <w:tcPr>
            <w:tcW w:w="3688" w:type="dxa"/>
            <w:noWrap w:val="0"/>
            <w:vAlign w:val="center"/>
          </w:tcPr>
          <w:p w14:paraId="00C02E97">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074BB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5BAC374E">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66A0952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0F81D69F">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0A41C458">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325E44CE">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408519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2A17702E">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26A501A4">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28237064">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2FA525D4">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7FF12A31">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3241E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2290EFA5">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5433036B">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25A61047">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34E2033C">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31E7E3DC">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678BD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270E5355">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3FC40E20">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47777C36">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5A543155">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65FD9E29">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r w14:paraId="09110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871" w:type="dxa"/>
            <w:vMerge w:val="continue"/>
            <w:tcBorders>
              <w:top w:val="nil"/>
            </w:tcBorders>
            <w:noWrap w:val="0"/>
            <w:vAlign w:val="center"/>
          </w:tcPr>
          <w:p w14:paraId="6B9C6AAE">
            <w:pPr>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18" w:type="dxa"/>
            <w:noWrap w:val="0"/>
            <w:vAlign w:val="center"/>
          </w:tcPr>
          <w:p w14:paraId="5F1E2434">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399" w:type="dxa"/>
            <w:noWrap w:val="0"/>
            <w:vAlign w:val="center"/>
          </w:tcPr>
          <w:p w14:paraId="134A837D">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1433" w:type="dxa"/>
            <w:noWrap w:val="0"/>
            <w:vAlign w:val="center"/>
          </w:tcPr>
          <w:p w14:paraId="354DA3A0">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c>
          <w:tcPr>
            <w:tcW w:w="3688" w:type="dxa"/>
            <w:noWrap w:val="0"/>
            <w:vAlign w:val="center"/>
          </w:tcPr>
          <w:p w14:paraId="1C893FEA">
            <w:pPr>
              <w:pStyle w:val="202"/>
              <w:keepNext w:val="0"/>
              <w:keepLines w:val="0"/>
              <w:pageBreakBefore w:val="0"/>
              <w:widowControl w:val="0"/>
              <w:kinsoku/>
              <w:wordWrap/>
              <w:overflowPunct/>
              <w:topLinePunct w:val="0"/>
              <w:bidi w:val="0"/>
              <w:adjustRightInd/>
              <w:snapToGrid/>
              <w:spacing w:line="420" w:lineRule="exact"/>
              <w:jc w:val="center"/>
              <w:textAlignment w:val="auto"/>
              <w:rPr>
                <w:rFonts w:hint="eastAsia" w:ascii="宋体" w:hAnsi="宋体" w:eastAsia="宋体" w:cs="宋体"/>
                <w:color w:val="auto"/>
                <w:sz w:val="24"/>
                <w:szCs w:val="24"/>
                <w:highlight w:val="none"/>
              </w:rPr>
            </w:pPr>
          </w:p>
        </w:tc>
      </w:tr>
    </w:tbl>
    <w:p w14:paraId="2413245F">
      <w:pPr>
        <w:pStyle w:val="8"/>
        <w:pageBreakBefore w:val="0"/>
        <w:kinsoku/>
        <w:overflowPunct/>
        <w:topLinePunct w:val="0"/>
        <w:bidi w:val="0"/>
        <w:snapToGrid/>
        <w:spacing w:line="560" w:lineRule="exact"/>
        <w:ind w:firstLine="281" w:firstLineChars="1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附件</w:t>
      </w:r>
      <w:r>
        <w:rPr>
          <w:rFonts w:hint="eastAsia" w:ascii="宋体" w:hAnsi="宋体" w:eastAsia="宋体" w:cs="宋体"/>
          <w:color w:val="auto"/>
          <w:sz w:val="28"/>
          <w:szCs w:val="28"/>
          <w:highlight w:val="none"/>
          <w:lang w:val="en-US" w:eastAsia="zh-CN"/>
        </w:rPr>
        <w:t>2：</w:t>
      </w:r>
    </w:p>
    <w:p w14:paraId="71A0C62B">
      <w:pPr>
        <w:pStyle w:val="8"/>
        <w:pageBreakBefore w:val="0"/>
        <w:kinsoku/>
        <w:overflowPunct/>
        <w:topLinePunct w:val="0"/>
        <w:bidi w:val="0"/>
        <w:snapToGrid/>
        <w:spacing w:line="560" w:lineRule="exact"/>
        <w:ind w:firstLine="301" w:firstLineChars="100"/>
        <w:jc w:val="center"/>
        <w:rPr>
          <w:rFonts w:hint="eastAsia" w:ascii="宋体" w:hAnsi="宋体" w:eastAsia="宋体" w:cs="宋体"/>
          <w:color w:val="auto"/>
          <w:spacing w:val="-18"/>
          <w:sz w:val="28"/>
          <w:szCs w:val="28"/>
          <w:highlight w:val="none"/>
          <w:lang w:val="en-US" w:eastAsia="zh-CN"/>
        </w:rPr>
      </w:pPr>
      <w:r>
        <w:rPr>
          <w:rFonts w:hint="eastAsia" w:ascii="宋体" w:hAnsi="宋体" w:eastAsia="宋体" w:cs="宋体"/>
          <w:sz w:val="30"/>
          <w:szCs w:val="30"/>
        </w:rPr>
        <w:t>承包人用于本工程施工的机械设备表</w:t>
      </w:r>
    </w:p>
    <w:tbl>
      <w:tblPr>
        <w:tblStyle w:val="45"/>
        <w:tblpPr w:leftFromText="180" w:rightFromText="180" w:vertAnchor="text" w:horzAnchor="page" w:tblpX="909" w:tblpY="375"/>
        <w:tblOverlap w:val="never"/>
        <w:tblW w:w="990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4"/>
        <w:gridCol w:w="1385"/>
        <w:gridCol w:w="1065"/>
        <w:gridCol w:w="765"/>
        <w:gridCol w:w="1065"/>
        <w:gridCol w:w="945"/>
        <w:gridCol w:w="1280"/>
        <w:gridCol w:w="825"/>
        <w:gridCol w:w="1076"/>
        <w:gridCol w:w="720"/>
      </w:tblGrid>
      <w:tr w14:paraId="2318E2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0" w:hRule="atLeast"/>
          <w:tblHeader/>
        </w:trPr>
        <w:tc>
          <w:tcPr>
            <w:tcW w:w="774" w:type="dxa"/>
            <w:tcBorders>
              <w:right w:val="single" w:color="auto" w:sz="4" w:space="0"/>
            </w:tcBorders>
            <w:noWrap w:val="0"/>
            <w:vAlign w:val="center"/>
          </w:tcPr>
          <w:p w14:paraId="74C3DB36">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4153CF93">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065" w:type="dxa"/>
            <w:noWrap w:val="0"/>
            <w:vAlign w:val="center"/>
          </w:tcPr>
          <w:p w14:paraId="77F8A982">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765" w:type="dxa"/>
            <w:noWrap w:val="0"/>
            <w:vAlign w:val="center"/>
          </w:tcPr>
          <w:p w14:paraId="370A05FD">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065" w:type="dxa"/>
            <w:noWrap w:val="0"/>
            <w:vAlign w:val="center"/>
          </w:tcPr>
          <w:p w14:paraId="65D43FE8">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945" w:type="dxa"/>
            <w:noWrap w:val="0"/>
            <w:vAlign w:val="center"/>
          </w:tcPr>
          <w:p w14:paraId="4F963259">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280" w:type="dxa"/>
            <w:noWrap w:val="0"/>
            <w:vAlign w:val="center"/>
          </w:tcPr>
          <w:p w14:paraId="2B2A2147">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825" w:type="dxa"/>
            <w:noWrap w:val="0"/>
            <w:vAlign w:val="center"/>
          </w:tcPr>
          <w:p w14:paraId="78828C76">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076" w:type="dxa"/>
            <w:noWrap w:val="0"/>
            <w:vAlign w:val="center"/>
          </w:tcPr>
          <w:p w14:paraId="75305226">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720" w:type="dxa"/>
            <w:noWrap w:val="0"/>
            <w:vAlign w:val="center"/>
          </w:tcPr>
          <w:p w14:paraId="162AC1A8">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r>
      <w:tr w14:paraId="6488F4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5A81FD10">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50A314BE">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46D34764">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51B952C2">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4A6ECD3D">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19CC862C">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120B8980">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763A785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466DAE3E">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1D7DFA8C">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467FB8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22ACEAE0">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3348CBBA">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59DACAA0">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1AAC171B">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61E44E71">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2ACE9820">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0DEBA52D">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1708C62A">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606A9B86">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4F39D3F1">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6B4FD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36483C02">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203CAA2D">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0FA7BC2A">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033CF046">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3FE9BC4B">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26158914">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16D28A27">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297A164A">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46D9CADB">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2514B811">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202A3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7E394872">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0B9166F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5F14CD4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0196C1B1">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03703FA3">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0677402B">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32264611">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13F8CC8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714CF5F8">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48F1062C">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26723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5DFEFA57">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44341BCA">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1F7CE4EE">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32B1CB6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56C0AB82">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48D76B24">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75E322D8">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534929A8">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271986B3">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6E7CFDA9">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63530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42FBE0B3">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6BEBF5D8">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11CA6C6F">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0BA98521">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756B5E7D">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6B6995C7">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2B7FE23A">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2E8442A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4EE9619B">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697E986D">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1D4DA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62657CAF">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sz w:val="21"/>
                <w:szCs w:val="21"/>
              </w:rPr>
            </w:pPr>
          </w:p>
        </w:tc>
        <w:tc>
          <w:tcPr>
            <w:tcW w:w="1385" w:type="dxa"/>
            <w:tcBorders>
              <w:left w:val="single" w:color="auto" w:sz="4" w:space="0"/>
            </w:tcBorders>
            <w:noWrap w:val="0"/>
            <w:vAlign w:val="center"/>
          </w:tcPr>
          <w:p w14:paraId="79EF4A80">
            <w:pPr>
              <w:jc w:val="center"/>
              <w:rPr>
                <w:rFonts w:hint="eastAsia" w:ascii="宋体" w:hAnsi="宋体" w:eastAsia="宋体" w:cs="宋体"/>
                <w:color w:val="auto"/>
                <w:sz w:val="21"/>
                <w:szCs w:val="21"/>
                <w:lang w:val="en-US" w:eastAsia="zh-CN"/>
              </w:rPr>
            </w:pPr>
          </w:p>
        </w:tc>
        <w:tc>
          <w:tcPr>
            <w:tcW w:w="1065" w:type="dxa"/>
            <w:noWrap w:val="0"/>
            <w:vAlign w:val="center"/>
          </w:tcPr>
          <w:p w14:paraId="51F14E12">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795E13A1">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2ED16F14">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6F5CE2C2">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452978E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4572BC45">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6C4365FA">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3180559E">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526323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21524778">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695CF15E">
            <w:pPr>
              <w:jc w:val="center"/>
              <w:rPr>
                <w:rFonts w:hint="eastAsia" w:ascii="宋体" w:hAnsi="宋体" w:eastAsia="宋体" w:cs="宋体"/>
                <w:color w:val="auto"/>
                <w:sz w:val="21"/>
                <w:szCs w:val="21"/>
                <w:lang w:val="en-US" w:eastAsia="en-US"/>
              </w:rPr>
            </w:pPr>
          </w:p>
        </w:tc>
        <w:tc>
          <w:tcPr>
            <w:tcW w:w="1065" w:type="dxa"/>
            <w:noWrap w:val="0"/>
            <w:vAlign w:val="center"/>
          </w:tcPr>
          <w:p w14:paraId="698C86A0">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snapToGrid w:val="0"/>
                <w:color w:val="auto"/>
                <w:kern w:val="0"/>
                <w:sz w:val="21"/>
                <w:szCs w:val="21"/>
                <w:highlight w:val="none"/>
                <w:shd w:val="clear" w:color="auto" w:fill="auto"/>
                <w:lang w:val="en-US" w:eastAsia="en-US" w:bidi="ar-SA"/>
              </w:rPr>
            </w:pPr>
          </w:p>
        </w:tc>
        <w:tc>
          <w:tcPr>
            <w:tcW w:w="765" w:type="dxa"/>
            <w:noWrap w:val="0"/>
            <w:vAlign w:val="center"/>
          </w:tcPr>
          <w:p w14:paraId="7D3A3AD0">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0FD34973">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54C41AF9">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03EDDADA">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10E7B617">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6B8B2853">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23B48E08">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3D6770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26E1D866">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1B099442">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snapToGrid w:val="0"/>
                <w:color w:val="auto"/>
                <w:kern w:val="2"/>
                <w:sz w:val="21"/>
                <w:szCs w:val="21"/>
                <w:lang w:val="en-US" w:eastAsia="zh-CN" w:bidi="ar-SA"/>
              </w:rPr>
            </w:pPr>
          </w:p>
        </w:tc>
        <w:tc>
          <w:tcPr>
            <w:tcW w:w="1065" w:type="dxa"/>
            <w:noWrap w:val="0"/>
            <w:vAlign w:val="center"/>
          </w:tcPr>
          <w:p w14:paraId="6ADA4A53">
            <w:pPr>
              <w:spacing w:line="360" w:lineRule="auto"/>
              <w:jc w:val="center"/>
              <w:rPr>
                <w:rFonts w:hint="eastAsia" w:ascii="宋体" w:hAnsi="宋体" w:eastAsia="宋体" w:cs="宋体"/>
                <w:snapToGrid w:val="0"/>
                <w:color w:val="auto"/>
                <w:kern w:val="2"/>
                <w:sz w:val="21"/>
                <w:szCs w:val="21"/>
                <w:lang w:val="en-US" w:eastAsia="zh-CN" w:bidi="ar-SA"/>
              </w:rPr>
            </w:pPr>
          </w:p>
        </w:tc>
        <w:tc>
          <w:tcPr>
            <w:tcW w:w="765" w:type="dxa"/>
            <w:noWrap w:val="0"/>
            <w:vAlign w:val="center"/>
          </w:tcPr>
          <w:p w14:paraId="2EB35ED3">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snapToGrid w:val="0"/>
                <w:color w:val="auto"/>
                <w:kern w:val="2"/>
                <w:sz w:val="21"/>
                <w:szCs w:val="21"/>
                <w:lang w:val="en-US" w:eastAsia="zh-CN" w:bidi="ar-SA"/>
              </w:rPr>
            </w:pPr>
          </w:p>
        </w:tc>
        <w:tc>
          <w:tcPr>
            <w:tcW w:w="1065" w:type="dxa"/>
            <w:noWrap w:val="0"/>
            <w:vAlign w:val="center"/>
          </w:tcPr>
          <w:p w14:paraId="3A63D996">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snapToGrid w:val="0"/>
                <w:color w:val="auto"/>
                <w:kern w:val="2"/>
                <w:sz w:val="21"/>
                <w:szCs w:val="21"/>
                <w:lang w:val="en-US" w:eastAsia="zh-CN" w:bidi="ar-SA"/>
              </w:rPr>
            </w:pPr>
          </w:p>
        </w:tc>
        <w:tc>
          <w:tcPr>
            <w:tcW w:w="945" w:type="dxa"/>
            <w:noWrap w:val="0"/>
            <w:vAlign w:val="center"/>
          </w:tcPr>
          <w:p w14:paraId="6226A3C9">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snapToGrid w:val="0"/>
                <w:color w:val="auto"/>
                <w:kern w:val="2"/>
                <w:sz w:val="21"/>
                <w:szCs w:val="21"/>
                <w:lang w:val="en-US" w:eastAsia="zh-CN" w:bidi="ar-SA"/>
              </w:rPr>
            </w:pPr>
          </w:p>
        </w:tc>
        <w:tc>
          <w:tcPr>
            <w:tcW w:w="1280" w:type="dxa"/>
            <w:noWrap w:val="0"/>
            <w:vAlign w:val="center"/>
          </w:tcPr>
          <w:p w14:paraId="486FCB10">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snapToGrid w:val="0"/>
                <w:color w:val="auto"/>
                <w:kern w:val="2"/>
                <w:sz w:val="21"/>
                <w:szCs w:val="21"/>
                <w:lang w:val="en-US" w:eastAsia="zh-CN" w:bidi="ar-SA"/>
              </w:rPr>
            </w:pPr>
          </w:p>
        </w:tc>
        <w:tc>
          <w:tcPr>
            <w:tcW w:w="825" w:type="dxa"/>
            <w:noWrap w:val="0"/>
            <w:vAlign w:val="center"/>
          </w:tcPr>
          <w:p w14:paraId="2C54C7B9">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snapToGrid w:val="0"/>
                <w:color w:val="auto"/>
                <w:kern w:val="2"/>
                <w:sz w:val="21"/>
                <w:szCs w:val="21"/>
                <w:lang w:val="en-US" w:eastAsia="zh-CN" w:bidi="ar-SA"/>
              </w:rPr>
            </w:pPr>
          </w:p>
        </w:tc>
        <w:tc>
          <w:tcPr>
            <w:tcW w:w="1076" w:type="dxa"/>
            <w:noWrap w:val="0"/>
            <w:vAlign w:val="center"/>
          </w:tcPr>
          <w:p w14:paraId="13B15AFA">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c>
          <w:tcPr>
            <w:tcW w:w="720" w:type="dxa"/>
            <w:noWrap w:val="0"/>
            <w:vAlign w:val="center"/>
          </w:tcPr>
          <w:p w14:paraId="003173FA">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r>
      <w:tr w14:paraId="1DE4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7C9CC3FC">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4C882AEA">
            <w:pPr>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60CAD599">
            <w:pPr>
              <w:jc w:val="center"/>
              <w:rPr>
                <w:rFonts w:hint="eastAsia" w:ascii="宋体" w:hAnsi="宋体" w:eastAsia="宋体" w:cs="宋体"/>
                <w:color w:val="auto"/>
                <w:kern w:val="2"/>
                <w:sz w:val="21"/>
                <w:szCs w:val="21"/>
                <w:lang w:val="en-US" w:eastAsia="zh-CN" w:bidi="ar-SA"/>
              </w:rPr>
            </w:pPr>
          </w:p>
        </w:tc>
        <w:tc>
          <w:tcPr>
            <w:tcW w:w="765" w:type="dxa"/>
            <w:noWrap w:val="0"/>
            <w:vAlign w:val="center"/>
          </w:tcPr>
          <w:p w14:paraId="12D9E91A">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7093D6D5">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945" w:type="dxa"/>
            <w:noWrap w:val="0"/>
            <w:vAlign w:val="center"/>
          </w:tcPr>
          <w:p w14:paraId="6F76E7B4">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1280" w:type="dxa"/>
            <w:noWrap w:val="0"/>
            <w:vAlign w:val="center"/>
          </w:tcPr>
          <w:p w14:paraId="14216361">
            <w:pPr>
              <w:jc w:val="center"/>
              <w:rPr>
                <w:rFonts w:hint="eastAsia" w:ascii="宋体" w:hAnsi="宋体" w:eastAsia="宋体" w:cs="宋体"/>
                <w:color w:val="auto"/>
                <w:kern w:val="2"/>
                <w:sz w:val="21"/>
                <w:szCs w:val="21"/>
                <w:lang w:val="en-US" w:eastAsia="zh-CN" w:bidi="ar-SA"/>
              </w:rPr>
            </w:pPr>
          </w:p>
        </w:tc>
        <w:tc>
          <w:tcPr>
            <w:tcW w:w="825" w:type="dxa"/>
            <w:noWrap w:val="0"/>
            <w:vAlign w:val="center"/>
          </w:tcPr>
          <w:p w14:paraId="183542CA">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1076" w:type="dxa"/>
            <w:noWrap w:val="0"/>
            <w:vAlign w:val="center"/>
          </w:tcPr>
          <w:p w14:paraId="7E7C5670">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c>
          <w:tcPr>
            <w:tcW w:w="720" w:type="dxa"/>
            <w:noWrap w:val="0"/>
            <w:vAlign w:val="center"/>
          </w:tcPr>
          <w:p w14:paraId="34CCD7A3">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r>
      <w:tr w14:paraId="116A6F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422EF165">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00812048">
            <w:pPr>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4DD427DB">
            <w:pPr>
              <w:jc w:val="center"/>
              <w:rPr>
                <w:rFonts w:hint="eastAsia" w:ascii="宋体" w:hAnsi="宋体" w:eastAsia="宋体" w:cs="宋体"/>
                <w:color w:val="auto"/>
                <w:kern w:val="2"/>
                <w:sz w:val="21"/>
                <w:szCs w:val="21"/>
                <w:lang w:val="en-US" w:eastAsia="zh-CN" w:bidi="ar-SA"/>
              </w:rPr>
            </w:pPr>
          </w:p>
        </w:tc>
        <w:tc>
          <w:tcPr>
            <w:tcW w:w="765" w:type="dxa"/>
            <w:noWrap w:val="0"/>
            <w:vAlign w:val="center"/>
          </w:tcPr>
          <w:p w14:paraId="616E9485">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17AE4367">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945" w:type="dxa"/>
            <w:noWrap w:val="0"/>
            <w:vAlign w:val="center"/>
          </w:tcPr>
          <w:p w14:paraId="3629D3B6">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1280" w:type="dxa"/>
            <w:noWrap w:val="0"/>
            <w:vAlign w:val="center"/>
          </w:tcPr>
          <w:p w14:paraId="29CC9B5E">
            <w:pPr>
              <w:jc w:val="center"/>
              <w:rPr>
                <w:rFonts w:hint="eastAsia" w:ascii="宋体" w:hAnsi="宋体" w:eastAsia="宋体" w:cs="宋体"/>
                <w:color w:val="auto"/>
                <w:kern w:val="2"/>
                <w:sz w:val="21"/>
                <w:szCs w:val="21"/>
                <w:lang w:val="en-US" w:eastAsia="zh-CN" w:bidi="ar-SA"/>
              </w:rPr>
            </w:pPr>
          </w:p>
        </w:tc>
        <w:tc>
          <w:tcPr>
            <w:tcW w:w="825" w:type="dxa"/>
            <w:noWrap w:val="0"/>
            <w:vAlign w:val="center"/>
          </w:tcPr>
          <w:p w14:paraId="6B98CA05">
            <w:pPr>
              <w:spacing w:before="100" w:beforeLines="0" w:line="360" w:lineRule="auto"/>
              <w:jc w:val="center"/>
              <w:rPr>
                <w:rFonts w:hint="eastAsia" w:ascii="宋体" w:hAnsi="宋体" w:eastAsia="宋体" w:cs="宋体"/>
                <w:color w:val="auto"/>
                <w:kern w:val="2"/>
                <w:sz w:val="21"/>
                <w:szCs w:val="21"/>
                <w:lang w:val="en-US" w:eastAsia="zh-CN" w:bidi="ar-SA"/>
              </w:rPr>
            </w:pPr>
          </w:p>
        </w:tc>
        <w:tc>
          <w:tcPr>
            <w:tcW w:w="1076" w:type="dxa"/>
            <w:noWrap w:val="0"/>
            <w:vAlign w:val="center"/>
          </w:tcPr>
          <w:p w14:paraId="103A5CA1">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c>
          <w:tcPr>
            <w:tcW w:w="720" w:type="dxa"/>
            <w:noWrap w:val="0"/>
            <w:vAlign w:val="center"/>
          </w:tcPr>
          <w:p w14:paraId="038B153D">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r>
      <w:tr w14:paraId="0266A0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7AD67A84">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51D57BB9">
            <w:pPr>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384943C2">
            <w:pPr>
              <w:jc w:val="center"/>
              <w:rPr>
                <w:rFonts w:hint="eastAsia" w:ascii="宋体" w:hAnsi="宋体" w:eastAsia="宋体" w:cs="宋体"/>
                <w:color w:val="auto"/>
                <w:kern w:val="2"/>
                <w:sz w:val="21"/>
                <w:szCs w:val="21"/>
                <w:lang w:val="en-US" w:eastAsia="zh-CN" w:bidi="ar-SA"/>
              </w:rPr>
            </w:pPr>
          </w:p>
        </w:tc>
        <w:tc>
          <w:tcPr>
            <w:tcW w:w="765" w:type="dxa"/>
            <w:noWrap w:val="0"/>
            <w:vAlign w:val="center"/>
          </w:tcPr>
          <w:p w14:paraId="56CF1658">
            <w:pPr>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21EB55B6">
            <w:pPr>
              <w:jc w:val="center"/>
              <w:rPr>
                <w:rFonts w:hint="eastAsia" w:ascii="宋体" w:hAnsi="宋体" w:eastAsia="宋体" w:cs="宋体"/>
                <w:color w:val="auto"/>
                <w:kern w:val="2"/>
                <w:sz w:val="21"/>
                <w:szCs w:val="21"/>
                <w:lang w:val="en-US" w:eastAsia="zh-CN" w:bidi="ar-SA"/>
              </w:rPr>
            </w:pPr>
          </w:p>
        </w:tc>
        <w:tc>
          <w:tcPr>
            <w:tcW w:w="945" w:type="dxa"/>
            <w:noWrap w:val="0"/>
            <w:vAlign w:val="center"/>
          </w:tcPr>
          <w:p w14:paraId="020F8631">
            <w:pPr>
              <w:jc w:val="center"/>
              <w:rPr>
                <w:rFonts w:hint="eastAsia" w:ascii="宋体" w:hAnsi="宋体" w:eastAsia="宋体" w:cs="宋体"/>
                <w:color w:val="auto"/>
                <w:kern w:val="2"/>
                <w:sz w:val="21"/>
                <w:szCs w:val="21"/>
                <w:lang w:val="en-US" w:eastAsia="zh-CN" w:bidi="ar-SA"/>
              </w:rPr>
            </w:pPr>
          </w:p>
        </w:tc>
        <w:tc>
          <w:tcPr>
            <w:tcW w:w="1280" w:type="dxa"/>
            <w:noWrap w:val="0"/>
            <w:vAlign w:val="center"/>
          </w:tcPr>
          <w:p w14:paraId="558A71EB">
            <w:pPr>
              <w:jc w:val="center"/>
              <w:rPr>
                <w:rFonts w:hint="eastAsia" w:ascii="宋体" w:hAnsi="宋体" w:eastAsia="宋体" w:cs="宋体"/>
                <w:color w:val="auto"/>
                <w:kern w:val="2"/>
                <w:sz w:val="21"/>
                <w:szCs w:val="21"/>
                <w:lang w:val="en-US" w:eastAsia="zh-CN" w:bidi="ar-SA"/>
              </w:rPr>
            </w:pPr>
          </w:p>
        </w:tc>
        <w:tc>
          <w:tcPr>
            <w:tcW w:w="825" w:type="dxa"/>
            <w:noWrap w:val="0"/>
            <w:vAlign w:val="center"/>
          </w:tcPr>
          <w:p w14:paraId="60893CF1">
            <w:pPr>
              <w:jc w:val="center"/>
              <w:rPr>
                <w:rFonts w:hint="eastAsia" w:ascii="宋体" w:hAnsi="宋体" w:eastAsia="宋体" w:cs="宋体"/>
                <w:color w:val="auto"/>
                <w:kern w:val="2"/>
                <w:sz w:val="21"/>
                <w:szCs w:val="21"/>
                <w:lang w:val="en-US" w:eastAsia="en-US" w:bidi="ar-SA"/>
              </w:rPr>
            </w:pPr>
          </w:p>
        </w:tc>
        <w:tc>
          <w:tcPr>
            <w:tcW w:w="1076" w:type="dxa"/>
            <w:noWrap w:val="0"/>
            <w:vAlign w:val="center"/>
          </w:tcPr>
          <w:p w14:paraId="35D40321">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c>
          <w:tcPr>
            <w:tcW w:w="720" w:type="dxa"/>
            <w:noWrap w:val="0"/>
            <w:vAlign w:val="center"/>
          </w:tcPr>
          <w:p w14:paraId="01F552AC">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r>
      <w:tr w14:paraId="26060C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30B866E2">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75B2D195">
            <w:pPr>
              <w:jc w:val="center"/>
              <w:rPr>
                <w:rFonts w:hint="eastAsia" w:ascii="宋体" w:hAnsi="宋体" w:eastAsia="宋体" w:cs="宋体"/>
                <w:color w:val="auto"/>
                <w:sz w:val="21"/>
                <w:szCs w:val="21"/>
                <w:lang w:val="en-US" w:eastAsia="zh-CN"/>
              </w:rPr>
            </w:pPr>
          </w:p>
        </w:tc>
        <w:tc>
          <w:tcPr>
            <w:tcW w:w="1065" w:type="dxa"/>
            <w:noWrap w:val="0"/>
            <w:vAlign w:val="center"/>
          </w:tcPr>
          <w:p w14:paraId="4DA2F505">
            <w:pPr>
              <w:spacing w:line="240" w:lineRule="auto"/>
              <w:jc w:val="center"/>
              <w:rPr>
                <w:rFonts w:hint="eastAsia" w:ascii="宋体" w:hAnsi="宋体" w:eastAsia="宋体" w:cs="宋体"/>
                <w:snapToGrid w:val="0"/>
                <w:color w:val="auto"/>
                <w:kern w:val="0"/>
                <w:sz w:val="21"/>
                <w:szCs w:val="21"/>
                <w:lang w:val="en-US" w:eastAsia="zh-CN" w:bidi="ar-SA"/>
              </w:rPr>
            </w:pPr>
          </w:p>
        </w:tc>
        <w:tc>
          <w:tcPr>
            <w:tcW w:w="765" w:type="dxa"/>
            <w:noWrap w:val="0"/>
            <w:vAlign w:val="center"/>
          </w:tcPr>
          <w:p w14:paraId="1B00F61D">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snapToGrid w:val="0"/>
                <w:color w:val="auto"/>
                <w:kern w:val="0"/>
                <w:sz w:val="21"/>
                <w:szCs w:val="21"/>
                <w:lang w:val="en-US" w:eastAsia="zh-CN" w:bidi="ar-SA"/>
              </w:rPr>
            </w:pPr>
          </w:p>
        </w:tc>
        <w:tc>
          <w:tcPr>
            <w:tcW w:w="1065" w:type="dxa"/>
            <w:noWrap w:val="0"/>
            <w:vAlign w:val="center"/>
          </w:tcPr>
          <w:p w14:paraId="1A298F57">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snapToGrid w:val="0"/>
                <w:color w:val="auto"/>
                <w:kern w:val="0"/>
                <w:sz w:val="21"/>
                <w:szCs w:val="21"/>
                <w:lang w:val="en-US" w:eastAsia="zh-CN" w:bidi="ar-SA"/>
              </w:rPr>
            </w:pPr>
          </w:p>
        </w:tc>
        <w:tc>
          <w:tcPr>
            <w:tcW w:w="945" w:type="dxa"/>
            <w:noWrap w:val="0"/>
            <w:vAlign w:val="center"/>
          </w:tcPr>
          <w:p w14:paraId="432229E2">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snapToGrid w:val="0"/>
                <w:color w:val="auto"/>
                <w:kern w:val="0"/>
                <w:sz w:val="21"/>
                <w:szCs w:val="21"/>
                <w:lang w:val="en-US" w:eastAsia="zh-CN" w:bidi="ar-SA"/>
              </w:rPr>
            </w:pPr>
          </w:p>
        </w:tc>
        <w:tc>
          <w:tcPr>
            <w:tcW w:w="1280" w:type="dxa"/>
            <w:noWrap w:val="0"/>
            <w:vAlign w:val="center"/>
          </w:tcPr>
          <w:p w14:paraId="7A83D279">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snapToGrid w:val="0"/>
                <w:color w:val="auto"/>
                <w:kern w:val="0"/>
                <w:sz w:val="21"/>
                <w:szCs w:val="21"/>
                <w:lang w:val="en-US" w:eastAsia="zh-CN" w:bidi="ar-SA"/>
              </w:rPr>
            </w:pPr>
          </w:p>
        </w:tc>
        <w:tc>
          <w:tcPr>
            <w:tcW w:w="825" w:type="dxa"/>
            <w:noWrap w:val="0"/>
            <w:vAlign w:val="center"/>
          </w:tcPr>
          <w:p w14:paraId="645B846B">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snapToGrid w:val="0"/>
                <w:color w:val="auto"/>
                <w:kern w:val="0"/>
                <w:sz w:val="21"/>
                <w:szCs w:val="21"/>
                <w:lang w:val="en-US" w:eastAsia="en-US" w:bidi="ar-SA"/>
              </w:rPr>
            </w:pPr>
          </w:p>
        </w:tc>
        <w:tc>
          <w:tcPr>
            <w:tcW w:w="1076" w:type="dxa"/>
            <w:noWrap w:val="0"/>
            <w:vAlign w:val="center"/>
          </w:tcPr>
          <w:p w14:paraId="3FEA5014">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c>
          <w:tcPr>
            <w:tcW w:w="720" w:type="dxa"/>
            <w:noWrap w:val="0"/>
            <w:vAlign w:val="center"/>
          </w:tcPr>
          <w:p w14:paraId="19D2DFFB">
            <w:pPr>
              <w:autoSpaceDE w:val="0"/>
              <w:autoSpaceDN w:val="0"/>
              <w:adjustRightInd w:val="0"/>
              <w:spacing w:line="240" w:lineRule="auto"/>
              <w:ind w:left="0" w:leftChars="0" w:firstLine="0" w:firstLineChars="0"/>
              <w:jc w:val="center"/>
              <w:rPr>
                <w:rFonts w:hint="eastAsia" w:ascii="宋体" w:hAnsi="宋体" w:eastAsia="宋体" w:cs="宋体"/>
                <w:color w:val="auto"/>
                <w:sz w:val="21"/>
                <w:szCs w:val="21"/>
                <w:lang w:val="en-US" w:eastAsia="zh-CN"/>
              </w:rPr>
            </w:pPr>
          </w:p>
        </w:tc>
      </w:tr>
      <w:tr w14:paraId="4F05D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7DB08211">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17A843E8">
            <w:pPr>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18B8E6C3">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1AFB3E34">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0569D6B2">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3D3102D0">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16D7C898">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7ECDA55E">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en-US" w:bidi="ar-SA"/>
              </w:rPr>
            </w:pPr>
          </w:p>
        </w:tc>
        <w:tc>
          <w:tcPr>
            <w:tcW w:w="1076" w:type="dxa"/>
            <w:noWrap w:val="0"/>
            <w:vAlign w:val="center"/>
          </w:tcPr>
          <w:p w14:paraId="1DF91023">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25D157D0">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61A645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572959AB">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3214395A">
            <w:pPr>
              <w:pStyle w:val="26"/>
              <w:jc w:val="center"/>
              <w:rPr>
                <w:rFonts w:hint="eastAsia" w:ascii="宋体" w:hAnsi="宋体" w:eastAsia="宋体" w:cs="宋体"/>
                <w:color w:val="auto"/>
                <w:kern w:val="2"/>
                <w:sz w:val="21"/>
                <w:szCs w:val="21"/>
                <w:lang w:val="en-US" w:eastAsia="zh-CN" w:bidi="ar-SA"/>
              </w:rPr>
            </w:pPr>
          </w:p>
        </w:tc>
        <w:tc>
          <w:tcPr>
            <w:tcW w:w="1065" w:type="dxa"/>
            <w:noWrap w:val="0"/>
            <w:vAlign w:val="center"/>
          </w:tcPr>
          <w:p w14:paraId="76739FC9">
            <w:pPr>
              <w:pStyle w:val="26"/>
              <w:jc w:val="center"/>
              <w:rPr>
                <w:rFonts w:hint="eastAsia" w:ascii="宋体" w:hAnsi="宋体" w:eastAsia="宋体" w:cs="宋体"/>
                <w:color w:val="auto"/>
                <w:kern w:val="2"/>
                <w:sz w:val="21"/>
                <w:szCs w:val="21"/>
                <w:lang w:val="en-US" w:eastAsia="zh-CN" w:bidi="ar-SA"/>
              </w:rPr>
            </w:pPr>
          </w:p>
        </w:tc>
        <w:tc>
          <w:tcPr>
            <w:tcW w:w="765" w:type="dxa"/>
            <w:noWrap w:val="0"/>
            <w:vAlign w:val="center"/>
          </w:tcPr>
          <w:p w14:paraId="4C0A4B6B">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25427188">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59960CDB">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1B8591E8">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158206BE">
            <w:pPr>
              <w:keepNext w:val="0"/>
              <w:keepLines w:val="0"/>
              <w:pageBreakBefore w:val="0"/>
              <w:widowControl w:val="0"/>
              <w:kinsoku/>
              <w:wordWrap/>
              <w:overflowPunct/>
              <w:topLinePunct w:val="0"/>
              <w:autoSpaceDE/>
              <w:autoSpaceDN/>
              <w:bidi w:val="0"/>
              <w:adjustRightInd/>
              <w:snapToGrid/>
              <w:spacing w:before="100" w:beforeLines="0" w:line="200" w:lineRule="exact"/>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2B8CA4FB">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c>
          <w:tcPr>
            <w:tcW w:w="720" w:type="dxa"/>
            <w:noWrap w:val="0"/>
            <w:vAlign w:val="center"/>
          </w:tcPr>
          <w:p w14:paraId="1B02E434">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08ED5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06AEECA1">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6F310DE4">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778D7AEC">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37CD6BF5">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0824A16D">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39888773">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065B3F82">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2D11802E">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402F849A">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4"/>
                <w:lang w:val="en-US" w:eastAsia="zh-CN" w:bidi="ar-SA"/>
              </w:rPr>
            </w:pPr>
          </w:p>
        </w:tc>
        <w:tc>
          <w:tcPr>
            <w:tcW w:w="720" w:type="dxa"/>
            <w:noWrap w:val="0"/>
            <w:vAlign w:val="center"/>
          </w:tcPr>
          <w:p w14:paraId="014E0243">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r w14:paraId="405D2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trPr>
        <w:tc>
          <w:tcPr>
            <w:tcW w:w="774" w:type="dxa"/>
            <w:tcBorders>
              <w:right w:val="single" w:color="auto" w:sz="4" w:space="0"/>
            </w:tcBorders>
            <w:noWrap w:val="0"/>
            <w:vAlign w:val="center"/>
          </w:tcPr>
          <w:p w14:paraId="3F709D77">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385" w:type="dxa"/>
            <w:tcBorders>
              <w:left w:val="single" w:color="auto" w:sz="4" w:space="0"/>
            </w:tcBorders>
            <w:noWrap w:val="0"/>
            <w:vAlign w:val="center"/>
          </w:tcPr>
          <w:p w14:paraId="031B44B0">
            <w:pPr>
              <w:keepNext w:val="0"/>
              <w:keepLines w:val="0"/>
              <w:pageBreakBefore w:val="0"/>
              <w:widowControl w:val="0"/>
              <w:kinsoku/>
              <w:wordWrap/>
              <w:overflowPunct/>
              <w:topLinePunct w:val="0"/>
              <w:autoSpaceDE/>
              <w:autoSpaceDN/>
              <w:bidi w:val="0"/>
              <w:adjustRightInd/>
              <w:snapToGrid/>
              <w:spacing w:before="100" w:beforeLines="0" w:line="240" w:lineRule="auto"/>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48E9EEC2">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765" w:type="dxa"/>
            <w:noWrap w:val="0"/>
            <w:vAlign w:val="center"/>
          </w:tcPr>
          <w:p w14:paraId="08F500F3">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065" w:type="dxa"/>
            <w:noWrap w:val="0"/>
            <w:vAlign w:val="center"/>
          </w:tcPr>
          <w:p w14:paraId="149E4445">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945" w:type="dxa"/>
            <w:noWrap w:val="0"/>
            <w:vAlign w:val="center"/>
          </w:tcPr>
          <w:p w14:paraId="38732F86">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280" w:type="dxa"/>
            <w:noWrap w:val="0"/>
            <w:vAlign w:val="center"/>
          </w:tcPr>
          <w:p w14:paraId="20876846">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825" w:type="dxa"/>
            <w:noWrap w:val="0"/>
            <w:vAlign w:val="center"/>
          </w:tcPr>
          <w:p w14:paraId="0BDCDF9C">
            <w:pPr>
              <w:keepNext w:val="0"/>
              <w:keepLines w:val="0"/>
              <w:pageBreakBefore w:val="0"/>
              <w:widowControl w:val="0"/>
              <w:kinsoku/>
              <w:wordWrap/>
              <w:overflowPunct/>
              <w:topLinePunct w:val="0"/>
              <w:autoSpaceDE/>
              <w:autoSpaceDN/>
              <w:bidi w:val="0"/>
              <w:adjustRightInd/>
              <w:snapToGrid/>
              <w:spacing w:before="100" w:beforeLines="0" w:line="360" w:lineRule="auto"/>
              <w:jc w:val="center"/>
              <w:textAlignment w:val="auto"/>
              <w:outlineLvl w:val="9"/>
              <w:rPr>
                <w:rFonts w:hint="eastAsia" w:ascii="宋体" w:hAnsi="宋体" w:eastAsia="宋体" w:cs="宋体"/>
                <w:color w:val="auto"/>
                <w:kern w:val="2"/>
                <w:sz w:val="21"/>
                <w:szCs w:val="21"/>
                <w:lang w:val="en-US" w:eastAsia="zh-CN" w:bidi="ar-SA"/>
              </w:rPr>
            </w:pPr>
          </w:p>
        </w:tc>
        <w:tc>
          <w:tcPr>
            <w:tcW w:w="1076" w:type="dxa"/>
            <w:noWrap w:val="0"/>
            <w:vAlign w:val="center"/>
          </w:tcPr>
          <w:p w14:paraId="7000B0B8">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4"/>
                <w:lang w:val="en-US" w:eastAsia="zh-CN" w:bidi="ar-SA"/>
              </w:rPr>
            </w:pPr>
          </w:p>
        </w:tc>
        <w:tc>
          <w:tcPr>
            <w:tcW w:w="720" w:type="dxa"/>
            <w:noWrap w:val="0"/>
            <w:vAlign w:val="center"/>
          </w:tcPr>
          <w:p w14:paraId="0C9C21E8">
            <w:pPr>
              <w:autoSpaceDE w:val="0"/>
              <w:autoSpaceDN w:val="0"/>
              <w:adjustRightInd w:val="0"/>
              <w:spacing w:line="240" w:lineRule="auto"/>
              <w:ind w:left="0" w:leftChars="0" w:firstLine="0" w:firstLineChars="0"/>
              <w:jc w:val="center"/>
              <w:rPr>
                <w:rFonts w:hint="eastAsia" w:ascii="宋体" w:hAnsi="宋体" w:eastAsia="宋体" w:cs="宋体"/>
                <w:color w:val="auto"/>
                <w:kern w:val="2"/>
                <w:sz w:val="21"/>
                <w:szCs w:val="21"/>
                <w:lang w:val="en-US" w:eastAsia="zh-CN" w:bidi="ar-SA"/>
              </w:rPr>
            </w:pPr>
          </w:p>
        </w:tc>
      </w:tr>
    </w:tbl>
    <w:p w14:paraId="0E709CE8">
      <w:pPr>
        <w:rPr>
          <w:rFonts w:hint="eastAsia" w:ascii="宋体" w:hAnsi="宋体" w:eastAsia="宋体" w:cs="宋体"/>
          <w:color w:val="auto"/>
          <w:spacing w:val="-18"/>
          <w:sz w:val="28"/>
          <w:szCs w:val="28"/>
          <w:highlight w:val="none"/>
          <w:lang w:val="en-US" w:eastAsia="zh-CN"/>
        </w:rPr>
      </w:pPr>
    </w:p>
    <w:p w14:paraId="0AA68F53">
      <w:pPr>
        <w:pStyle w:val="8"/>
        <w:pageBreakBefore w:val="0"/>
        <w:kinsoku/>
        <w:overflowPunct/>
        <w:topLinePunct w:val="0"/>
        <w:bidi w:val="0"/>
        <w:snapToGrid/>
        <w:spacing w:line="56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附件 </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w:t>
      </w:r>
    </w:p>
    <w:p w14:paraId="52BA4FCA">
      <w:pPr>
        <w:pStyle w:val="6"/>
        <w:pageBreakBefore w:val="0"/>
        <w:kinsoku/>
        <w:overflowPunct/>
        <w:topLinePunct w:val="0"/>
        <w:bidi w:val="0"/>
        <w:snapToGrid/>
        <w:spacing w:before="54" w:line="560" w:lineRule="exact"/>
        <w:ind w:lef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r>
        <w:rPr>
          <w:rFonts w:hint="eastAsia" w:ascii="宋体" w:hAnsi="宋体" w:eastAsia="宋体" w:cs="宋体"/>
          <w:color w:val="auto"/>
          <w:sz w:val="24"/>
          <w:szCs w:val="24"/>
          <w:highlight w:val="none"/>
          <w:lang w:eastAsia="zh-CN"/>
        </w:rPr>
        <w:t>公路</w:t>
      </w:r>
      <w:r>
        <w:rPr>
          <w:rFonts w:hint="eastAsia" w:ascii="宋体" w:hAnsi="宋体" w:eastAsia="宋体" w:cs="宋体"/>
          <w:color w:val="auto"/>
          <w:sz w:val="24"/>
          <w:szCs w:val="24"/>
          <w:highlight w:val="none"/>
        </w:rPr>
        <w:t>工程）</w:t>
      </w:r>
    </w:p>
    <w:p w14:paraId="629D82A4">
      <w:pPr>
        <w:pStyle w:val="19"/>
        <w:pageBreakBefore w:val="0"/>
        <w:kinsoku/>
        <w:overflowPunct/>
        <w:topLinePunct w:val="0"/>
        <w:bidi w:val="0"/>
        <w:snapToGrid/>
        <w:spacing w:before="70" w:line="560" w:lineRule="exact"/>
        <w:ind w:left="332" w:right="20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color w:val="auto"/>
          <w:sz w:val="24"/>
          <w:szCs w:val="24"/>
          <w:highlight w:val="none"/>
          <w:u w:val="none"/>
        </w:rPr>
        <w:t xml:space="preserve"> 崇左市江州区交通运输局</w:t>
      </w:r>
      <w:r>
        <w:rPr>
          <w:rFonts w:hint="eastAsia" w:ascii="宋体" w:hAnsi="宋体" w:eastAsia="宋体" w:cs="宋体"/>
          <w:color w:val="auto"/>
          <w:sz w:val="24"/>
          <w:szCs w:val="24"/>
          <w:highlight w:val="none"/>
        </w:rPr>
        <w:t xml:space="preserve"> </w:t>
      </w:r>
    </w:p>
    <w:p w14:paraId="12752F42">
      <w:pPr>
        <w:pStyle w:val="19"/>
        <w:pageBreakBefore w:val="0"/>
        <w:kinsoku/>
        <w:overflowPunct/>
        <w:topLinePunct w:val="0"/>
        <w:bidi w:val="0"/>
        <w:snapToGrid/>
        <w:spacing w:before="70" w:line="560" w:lineRule="exact"/>
        <w:ind w:left="332" w:right="20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w:t>
      </w:r>
      <w:r>
        <w:rPr>
          <w:rFonts w:hint="eastAsia" w:ascii="宋体" w:hAnsi="宋体" w:eastAsia="宋体" w:cs="宋体"/>
          <w:color w:val="auto"/>
          <w:sz w:val="24"/>
          <w:szCs w:val="24"/>
          <w:highlight w:val="none"/>
          <w:u w:val="none"/>
          <w:lang w:eastAsia="zh-CN"/>
        </w:rPr>
        <w:t xml:space="preserve">                           </w:t>
      </w:r>
    </w:p>
    <w:p w14:paraId="42B792EF">
      <w:pPr>
        <w:pStyle w:val="19"/>
        <w:pageBreakBefore w:val="0"/>
        <w:numPr>
          <w:ilvl w:val="0"/>
          <w:numId w:val="0"/>
        </w:numPr>
        <w:kinsoku/>
        <w:overflowPunct/>
        <w:topLinePunct w:val="0"/>
        <w:bidi w:val="0"/>
        <w:snapToGrid/>
        <w:spacing w:line="560" w:lineRule="exact"/>
        <w:ind w:leftChars="0" w:right="330" w:rightChars="0" w:firstLine="1120" w:firstLineChars="500"/>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发包人和承包人根据《中华人民共和国建筑法》和《建设工程质量管理条例》，经协商一致就</w:t>
      </w:r>
      <w:r>
        <w:rPr>
          <w:rFonts w:hint="eastAsia" w:ascii="宋体" w:hAnsi="宋体" w:eastAsia="宋体" w:cs="宋体"/>
          <w:color w:val="auto"/>
          <w:spacing w:val="-8"/>
          <w:sz w:val="24"/>
          <w:szCs w:val="24"/>
          <w:highlight w:val="none"/>
          <w:lang w:val="en-US" w:eastAsia="zh-CN"/>
        </w:rPr>
        <w:t xml:space="preserve"> </w:t>
      </w:r>
      <w:r>
        <w:rPr>
          <w:rFonts w:hint="eastAsia" w:ascii="宋体" w:hAnsi="宋体" w:eastAsia="宋体" w:cs="宋体"/>
          <w:color w:val="auto"/>
          <w:spacing w:val="-8"/>
          <w:sz w:val="24"/>
          <w:szCs w:val="24"/>
          <w:highlight w:val="none"/>
          <w:u w:val="single"/>
          <w:lang w:val="en-US" w:eastAsia="zh-CN"/>
        </w:rPr>
        <w:t xml:space="preserve">  (项目名称）  </w:t>
      </w:r>
      <w:r>
        <w:rPr>
          <w:rFonts w:hint="eastAsia" w:ascii="宋体" w:hAnsi="宋体" w:eastAsia="宋体" w:cs="宋体"/>
          <w:color w:val="auto"/>
          <w:spacing w:val="-3"/>
          <w:sz w:val="24"/>
          <w:szCs w:val="24"/>
          <w:highlight w:val="none"/>
        </w:rPr>
        <w:t>签订工程质量保修书。</w:t>
      </w:r>
    </w:p>
    <w:p w14:paraId="0DA5FD39">
      <w:pPr>
        <w:pStyle w:val="19"/>
        <w:pageBreakBefore w:val="0"/>
        <w:kinsoku/>
        <w:overflowPunct/>
        <w:topLinePunct w:val="0"/>
        <w:bidi w:val="0"/>
        <w:snapToGrid/>
        <w:spacing w:before="2" w:line="560" w:lineRule="exact"/>
        <w:ind w:left="332"/>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一、工程质量保修范围和内容</w:t>
      </w:r>
    </w:p>
    <w:p w14:paraId="6A44F2F5">
      <w:pPr>
        <w:pStyle w:val="19"/>
        <w:pageBreakBefore w:val="0"/>
        <w:kinsoku/>
        <w:overflowPunct/>
        <w:topLinePunct w:val="0"/>
        <w:bidi w:val="0"/>
        <w:snapToGrid/>
        <w:spacing w:line="560" w:lineRule="exact"/>
        <w:ind w:left="332" w:right="240" w:rightChars="0" w:firstLine="480" w:firstLineChars="200"/>
        <w:rPr>
          <w:rFonts w:hint="eastAsia" w:ascii="宋体" w:hAnsi="宋体" w:eastAsia="宋体" w:cs="宋体"/>
          <w:color w:val="auto"/>
          <w:spacing w:val="-17"/>
          <w:sz w:val="24"/>
          <w:szCs w:val="24"/>
          <w:highlight w:val="none"/>
        </w:rPr>
      </w:pPr>
      <w:r>
        <w:rPr>
          <w:rFonts w:hint="eastAsia" w:ascii="宋体" w:hAnsi="宋体" w:eastAsia="宋体" w:cs="宋体"/>
          <w:color w:val="auto"/>
          <w:sz w:val="24"/>
          <w:szCs w:val="24"/>
          <w:highlight w:val="none"/>
        </w:rPr>
        <w:t>承包人在质量保修期内，按照有关法律规定和合同约定，承担工程质量保修责任。质量保修范围包括，以及双方约定的其他项目。具体保修的内容，双方约定如下：</w:t>
      </w:r>
      <w:r>
        <w:rPr>
          <w:rFonts w:hint="eastAsia" w:ascii="宋体" w:hAnsi="宋体" w:eastAsia="宋体" w:cs="宋体"/>
          <w:color w:val="auto"/>
          <w:w w:val="100"/>
          <w:sz w:val="24"/>
          <w:szCs w:val="24"/>
          <w:highlight w:val="none"/>
          <w:u w:val="single"/>
          <w:lang w:val="en-US" w:eastAsia="zh-CN"/>
        </w:rPr>
        <w:t xml:space="preserve"> （项目名称）</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w w:val="100"/>
          <w:sz w:val="24"/>
          <w:szCs w:val="24"/>
          <w:highlight w:val="none"/>
          <w:u w:val="single"/>
          <w:lang w:eastAsia="zh-CN"/>
        </w:rPr>
        <w:t xml:space="preserve">     </w:t>
      </w:r>
      <w:r>
        <w:rPr>
          <w:rFonts w:hint="eastAsia" w:ascii="宋体" w:hAnsi="宋体" w:eastAsia="宋体" w:cs="宋体"/>
          <w:color w:val="auto"/>
          <w:spacing w:val="-17"/>
          <w:sz w:val="24"/>
          <w:szCs w:val="24"/>
          <w:highlight w:val="none"/>
        </w:rPr>
        <w:t>。</w:t>
      </w:r>
    </w:p>
    <w:p w14:paraId="248F8C13">
      <w:pPr>
        <w:pStyle w:val="19"/>
        <w:pageBreakBefore w:val="0"/>
        <w:tabs>
          <w:tab w:val="left" w:pos="3743"/>
        </w:tabs>
        <w:kinsoku/>
        <w:overflowPunct/>
        <w:topLinePunct w:val="0"/>
        <w:bidi w:val="0"/>
        <w:snapToGrid/>
        <w:spacing w:before="2" w:line="560" w:lineRule="exact"/>
        <w:ind w:left="332" w:right="200" w:rightChars="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二、质量保修期</w:t>
      </w:r>
    </w:p>
    <w:p w14:paraId="34702E0E">
      <w:pPr>
        <w:pStyle w:val="19"/>
        <w:pageBreakBefore w:val="0"/>
        <w:kinsoku/>
        <w:overflowPunct/>
        <w:topLinePunct w:val="0"/>
        <w:bidi w:val="0"/>
        <w:snapToGrid/>
        <w:spacing w:line="560" w:lineRule="exact"/>
        <w:ind w:left="33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2D9AF52D">
      <w:pPr>
        <w:pStyle w:val="196"/>
        <w:pageBreakBefore w:val="0"/>
        <w:numPr>
          <w:ilvl w:val="0"/>
          <w:numId w:val="0"/>
        </w:numPr>
        <w:tabs>
          <w:tab w:val="left" w:pos="666"/>
          <w:tab w:val="left" w:pos="2312"/>
        </w:tabs>
        <w:kinsoku/>
        <w:overflowPunct/>
        <w:topLinePunct w:val="0"/>
        <w:bidi w:val="0"/>
        <w:snapToGrid/>
        <w:spacing w:before="0" w:after="0" w:line="560" w:lineRule="exact"/>
        <w:ind w:leftChars="20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1.</w:t>
      </w:r>
      <w:r>
        <w:rPr>
          <w:rFonts w:hint="eastAsia" w:ascii="宋体" w:hAnsi="宋体" w:eastAsia="宋体" w:cs="宋体"/>
          <w:color w:val="auto"/>
          <w:spacing w:val="-3"/>
          <w:sz w:val="24"/>
          <w:szCs w:val="24"/>
          <w:highlight w:val="none"/>
        </w:rPr>
        <w:t>桥</w:t>
      </w:r>
      <w:r>
        <w:rPr>
          <w:rFonts w:hint="eastAsia" w:ascii="宋体" w:hAnsi="宋体" w:eastAsia="宋体" w:cs="宋体"/>
          <w:color w:val="auto"/>
          <w:sz w:val="24"/>
          <w:szCs w:val="24"/>
          <w:highlight w:val="none"/>
        </w:rPr>
        <w:t>梁工</w:t>
      </w:r>
      <w:r>
        <w:rPr>
          <w:rFonts w:hint="eastAsia" w:ascii="宋体" w:hAnsi="宋体" w:eastAsia="宋体" w:cs="宋体"/>
          <w:color w:val="auto"/>
          <w:spacing w:val="-3"/>
          <w:sz w:val="24"/>
          <w:szCs w:val="24"/>
          <w:highlight w:val="none"/>
        </w:rPr>
        <w:t>程</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1 </w:t>
      </w:r>
      <w:r>
        <w:rPr>
          <w:rFonts w:hint="eastAsia" w:ascii="宋体" w:hAnsi="宋体" w:eastAsia="宋体" w:cs="宋体"/>
          <w:color w:val="auto"/>
          <w:sz w:val="24"/>
          <w:szCs w:val="24"/>
          <w:highlight w:val="none"/>
        </w:rPr>
        <w:t>年</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建议</w:t>
      </w:r>
      <w:r>
        <w:rPr>
          <w:rFonts w:hint="eastAsia" w:ascii="宋体" w:hAnsi="宋体" w:eastAsia="宋体" w:cs="宋体"/>
          <w:color w:val="auto"/>
          <w:spacing w:val="-3"/>
          <w:sz w:val="24"/>
          <w:szCs w:val="24"/>
          <w:highlight w:val="none"/>
        </w:rPr>
        <w:t>桥</w:t>
      </w:r>
      <w:r>
        <w:rPr>
          <w:rFonts w:hint="eastAsia" w:ascii="宋体" w:hAnsi="宋体" w:eastAsia="宋体" w:cs="宋体"/>
          <w:color w:val="auto"/>
          <w:sz w:val="24"/>
          <w:szCs w:val="24"/>
          <w:highlight w:val="none"/>
        </w:rPr>
        <w:t>梁隧</w:t>
      </w:r>
      <w:r>
        <w:rPr>
          <w:rFonts w:hint="eastAsia" w:ascii="宋体" w:hAnsi="宋体" w:eastAsia="宋体" w:cs="宋体"/>
          <w:color w:val="auto"/>
          <w:spacing w:val="-3"/>
          <w:sz w:val="24"/>
          <w:szCs w:val="24"/>
          <w:highlight w:val="none"/>
        </w:rPr>
        <w:t>道</w:t>
      </w:r>
      <w:r>
        <w:rPr>
          <w:rFonts w:hint="eastAsia" w:ascii="宋体" w:hAnsi="宋体" w:eastAsia="宋体" w:cs="宋体"/>
          <w:color w:val="auto"/>
          <w:sz w:val="24"/>
          <w:szCs w:val="24"/>
          <w:highlight w:val="none"/>
        </w:rPr>
        <w:t>主体</w:t>
      </w:r>
      <w:r>
        <w:rPr>
          <w:rFonts w:hint="eastAsia" w:ascii="宋体" w:hAnsi="宋体" w:eastAsia="宋体" w:cs="宋体"/>
          <w:color w:val="auto"/>
          <w:spacing w:val="-3"/>
          <w:sz w:val="24"/>
          <w:szCs w:val="24"/>
          <w:highlight w:val="none"/>
        </w:rPr>
        <w:t>结</w:t>
      </w:r>
      <w:r>
        <w:rPr>
          <w:rFonts w:hint="eastAsia" w:ascii="宋体" w:hAnsi="宋体" w:eastAsia="宋体" w:cs="宋体"/>
          <w:color w:val="auto"/>
          <w:sz w:val="24"/>
          <w:szCs w:val="24"/>
          <w:highlight w:val="none"/>
        </w:rPr>
        <w:t>构工</w:t>
      </w:r>
      <w:r>
        <w:rPr>
          <w:rFonts w:hint="eastAsia" w:ascii="宋体" w:hAnsi="宋体" w:eastAsia="宋体" w:cs="宋体"/>
          <w:color w:val="auto"/>
          <w:spacing w:val="-3"/>
          <w:sz w:val="24"/>
          <w:szCs w:val="24"/>
          <w:highlight w:val="none"/>
        </w:rPr>
        <w:t>程</w:t>
      </w:r>
      <w:r>
        <w:rPr>
          <w:rFonts w:hint="eastAsia" w:ascii="宋体" w:hAnsi="宋体" w:eastAsia="宋体" w:cs="宋体"/>
          <w:color w:val="auto"/>
          <w:sz w:val="24"/>
          <w:szCs w:val="24"/>
          <w:highlight w:val="none"/>
        </w:rPr>
        <w:t>为设</w:t>
      </w:r>
      <w:r>
        <w:rPr>
          <w:rFonts w:hint="eastAsia" w:ascii="宋体" w:hAnsi="宋体" w:eastAsia="宋体" w:cs="宋体"/>
          <w:color w:val="auto"/>
          <w:spacing w:val="-3"/>
          <w:sz w:val="24"/>
          <w:szCs w:val="24"/>
          <w:highlight w:val="none"/>
        </w:rPr>
        <w:t>计</w:t>
      </w:r>
      <w:r>
        <w:rPr>
          <w:rFonts w:hint="eastAsia" w:ascii="宋体" w:hAnsi="宋体" w:eastAsia="宋体" w:cs="宋体"/>
          <w:color w:val="auto"/>
          <w:sz w:val="24"/>
          <w:szCs w:val="24"/>
          <w:highlight w:val="none"/>
        </w:rPr>
        <w:t>文件</w:t>
      </w:r>
      <w:r>
        <w:rPr>
          <w:rFonts w:hint="eastAsia" w:ascii="宋体" w:hAnsi="宋体" w:eastAsia="宋体" w:cs="宋体"/>
          <w:color w:val="auto"/>
          <w:spacing w:val="-3"/>
          <w:sz w:val="24"/>
          <w:szCs w:val="24"/>
          <w:highlight w:val="none"/>
        </w:rPr>
        <w:t>规</w:t>
      </w:r>
      <w:r>
        <w:rPr>
          <w:rFonts w:hint="eastAsia" w:ascii="宋体" w:hAnsi="宋体" w:eastAsia="宋体" w:cs="宋体"/>
          <w:color w:val="auto"/>
          <w:sz w:val="24"/>
          <w:szCs w:val="24"/>
          <w:highlight w:val="none"/>
        </w:rPr>
        <w:t>定的</w:t>
      </w:r>
      <w:r>
        <w:rPr>
          <w:rFonts w:hint="eastAsia" w:ascii="宋体" w:hAnsi="宋体" w:eastAsia="宋体" w:cs="宋体"/>
          <w:color w:val="auto"/>
          <w:spacing w:val="-3"/>
          <w:sz w:val="24"/>
          <w:szCs w:val="24"/>
          <w:highlight w:val="none"/>
        </w:rPr>
        <w:t>合</w:t>
      </w:r>
      <w:r>
        <w:rPr>
          <w:rFonts w:hint="eastAsia" w:ascii="宋体" w:hAnsi="宋体" w:eastAsia="宋体" w:cs="宋体"/>
          <w:color w:val="auto"/>
          <w:sz w:val="24"/>
          <w:szCs w:val="24"/>
          <w:highlight w:val="none"/>
        </w:rPr>
        <w:t>理使</w:t>
      </w:r>
      <w:r>
        <w:rPr>
          <w:rFonts w:hint="eastAsia" w:ascii="宋体" w:hAnsi="宋体" w:eastAsia="宋体" w:cs="宋体"/>
          <w:color w:val="auto"/>
          <w:spacing w:val="-3"/>
          <w:sz w:val="24"/>
          <w:szCs w:val="24"/>
          <w:highlight w:val="none"/>
        </w:rPr>
        <w:t>用</w:t>
      </w:r>
      <w:r>
        <w:rPr>
          <w:rFonts w:hint="eastAsia" w:ascii="宋体" w:hAnsi="宋体" w:eastAsia="宋体" w:cs="宋体"/>
          <w:color w:val="auto"/>
          <w:sz w:val="24"/>
          <w:szCs w:val="24"/>
          <w:highlight w:val="none"/>
        </w:rPr>
        <w:t>年限）；</w:t>
      </w:r>
    </w:p>
    <w:p w14:paraId="36E04FC0">
      <w:pPr>
        <w:pStyle w:val="196"/>
        <w:pageBreakBefore w:val="0"/>
        <w:numPr>
          <w:ilvl w:val="0"/>
          <w:numId w:val="0"/>
        </w:numPr>
        <w:tabs>
          <w:tab w:val="left" w:pos="666"/>
          <w:tab w:val="left" w:pos="2312"/>
        </w:tabs>
        <w:kinsoku/>
        <w:overflowPunct/>
        <w:topLinePunct w:val="0"/>
        <w:bidi w:val="0"/>
        <w:snapToGrid/>
        <w:spacing w:before="1" w:after="0" w:line="560" w:lineRule="exact"/>
        <w:ind w:leftChars="20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2.</w:t>
      </w:r>
      <w:r>
        <w:rPr>
          <w:rFonts w:hint="eastAsia" w:ascii="宋体" w:hAnsi="宋体" w:eastAsia="宋体" w:cs="宋体"/>
          <w:color w:val="auto"/>
          <w:spacing w:val="-3"/>
          <w:sz w:val="24"/>
          <w:szCs w:val="24"/>
          <w:highlight w:val="none"/>
        </w:rPr>
        <w:t>道</w:t>
      </w:r>
      <w:r>
        <w:rPr>
          <w:rFonts w:hint="eastAsia" w:ascii="宋体" w:hAnsi="宋体" w:eastAsia="宋体" w:cs="宋体"/>
          <w:color w:val="auto"/>
          <w:sz w:val="24"/>
          <w:szCs w:val="24"/>
          <w:highlight w:val="none"/>
        </w:rPr>
        <w:t>路工</w:t>
      </w:r>
      <w:r>
        <w:rPr>
          <w:rFonts w:hint="eastAsia" w:ascii="宋体" w:hAnsi="宋体" w:eastAsia="宋体" w:cs="宋体"/>
          <w:color w:val="auto"/>
          <w:spacing w:val="-3"/>
          <w:sz w:val="24"/>
          <w:szCs w:val="24"/>
          <w:highlight w:val="none"/>
        </w:rPr>
        <w:t>程</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1 </w:t>
      </w:r>
      <w:r>
        <w:rPr>
          <w:rFonts w:hint="eastAsia" w:ascii="宋体" w:hAnsi="宋体" w:eastAsia="宋体" w:cs="宋体"/>
          <w:color w:val="auto"/>
          <w:sz w:val="24"/>
          <w:szCs w:val="24"/>
          <w:highlight w:val="none"/>
        </w:rPr>
        <w:t>年</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建议</w:t>
      </w:r>
      <w:r>
        <w:rPr>
          <w:rFonts w:hint="eastAsia" w:ascii="宋体" w:hAnsi="宋体" w:eastAsia="宋体" w:cs="宋体"/>
          <w:color w:val="auto"/>
          <w:spacing w:val="-3"/>
          <w:sz w:val="24"/>
          <w:szCs w:val="24"/>
          <w:highlight w:val="none"/>
        </w:rPr>
        <w:t>路</w:t>
      </w:r>
      <w:r>
        <w:rPr>
          <w:rFonts w:hint="eastAsia" w:ascii="宋体" w:hAnsi="宋体" w:eastAsia="宋体" w:cs="宋体"/>
          <w:color w:val="auto"/>
          <w:sz w:val="24"/>
          <w:szCs w:val="24"/>
          <w:highlight w:val="none"/>
        </w:rPr>
        <w:t>基、</w:t>
      </w:r>
      <w:r>
        <w:rPr>
          <w:rFonts w:hint="eastAsia" w:ascii="宋体" w:hAnsi="宋体" w:eastAsia="宋体" w:cs="宋体"/>
          <w:color w:val="auto"/>
          <w:spacing w:val="-3"/>
          <w:sz w:val="24"/>
          <w:szCs w:val="24"/>
          <w:highlight w:val="none"/>
        </w:rPr>
        <w:t>路</w:t>
      </w:r>
      <w:r>
        <w:rPr>
          <w:rFonts w:hint="eastAsia" w:ascii="宋体" w:hAnsi="宋体" w:eastAsia="宋体" w:cs="宋体"/>
          <w:color w:val="auto"/>
          <w:sz w:val="24"/>
          <w:szCs w:val="24"/>
          <w:highlight w:val="none"/>
        </w:rPr>
        <w:t>面、</w:t>
      </w:r>
      <w:r>
        <w:rPr>
          <w:rFonts w:hint="eastAsia" w:ascii="宋体" w:hAnsi="宋体" w:eastAsia="宋体" w:cs="宋体"/>
          <w:color w:val="auto"/>
          <w:spacing w:val="-3"/>
          <w:sz w:val="24"/>
          <w:szCs w:val="24"/>
          <w:highlight w:val="none"/>
        </w:rPr>
        <w:t>桥</w:t>
      </w:r>
      <w:r>
        <w:rPr>
          <w:rFonts w:hint="eastAsia" w:ascii="宋体" w:hAnsi="宋体" w:eastAsia="宋体" w:cs="宋体"/>
          <w:color w:val="auto"/>
          <w:sz w:val="24"/>
          <w:szCs w:val="24"/>
          <w:highlight w:val="none"/>
        </w:rPr>
        <w:t>面为</w:t>
      </w:r>
      <w:r>
        <w:rPr>
          <w:rFonts w:hint="eastAsia" w:ascii="宋体" w:hAnsi="宋体" w:eastAsia="宋体" w:cs="宋体"/>
          <w:color w:val="auto"/>
          <w:spacing w:val="-55"/>
          <w:sz w:val="24"/>
          <w:szCs w:val="24"/>
          <w:highlight w:val="none"/>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pacing w:val="-55"/>
          <w:sz w:val="24"/>
          <w:szCs w:val="24"/>
          <w:highlight w:val="none"/>
        </w:rPr>
        <w:t xml:space="preserve"> </w:t>
      </w:r>
      <w:r>
        <w:rPr>
          <w:rFonts w:hint="eastAsia" w:ascii="宋体" w:hAnsi="宋体" w:eastAsia="宋体" w:cs="宋体"/>
          <w:color w:val="auto"/>
          <w:sz w:val="24"/>
          <w:szCs w:val="24"/>
          <w:highlight w:val="none"/>
        </w:rPr>
        <w:t>年）；</w:t>
      </w:r>
    </w:p>
    <w:p w14:paraId="5A102282">
      <w:pPr>
        <w:pStyle w:val="196"/>
        <w:pageBreakBefore w:val="0"/>
        <w:numPr>
          <w:ilvl w:val="0"/>
          <w:numId w:val="0"/>
        </w:numPr>
        <w:tabs>
          <w:tab w:val="left" w:pos="666"/>
          <w:tab w:val="left" w:pos="3083"/>
        </w:tabs>
        <w:kinsoku/>
        <w:overflowPunct/>
        <w:topLinePunct w:val="0"/>
        <w:bidi w:val="0"/>
        <w:snapToGrid/>
        <w:spacing w:before="0" w:after="0" w:line="560" w:lineRule="exact"/>
        <w:ind w:leftChars="20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3.</w:t>
      </w:r>
      <w:r>
        <w:rPr>
          <w:rFonts w:hint="eastAsia" w:ascii="宋体" w:hAnsi="宋体" w:eastAsia="宋体" w:cs="宋体"/>
          <w:color w:val="auto"/>
          <w:spacing w:val="-3"/>
          <w:sz w:val="24"/>
          <w:szCs w:val="24"/>
          <w:highlight w:val="none"/>
        </w:rPr>
        <w:t>排</w:t>
      </w:r>
      <w:r>
        <w:rPr>
          <w:rFonts w:hint="eastAsia" w:ascii="宋体" w:hAnsi="宋体" w:eastAsia="宋体" w:cs="宋体"/>
          <w:color w:val="auto"/>
          <w:sz w:val="24"/>
          <w:szCs w:val="24"/>
          <w:highlight w:val="none"/>
        </w:rPr>
        <w:t>水（</w:t>
      </w:r>
      <w:r>
        <w:rPr>
          <w:rFonts w:hint="eastAsia" w:ascii="宋体" w:hAnsi="宋体" w:eastAsia="宋体" w:cs="宋体"/>
          <w:color w:val="auto"/>
          <w:spacing w:val="-3"/>
          <w:sz w:val="24"/>
          <w:szCs w:val="24"/>
          <w:highlight w:val="none"/>
        </w:rPr>
        <w:t>雨</w:t>
      </w:r>
      <w:r>
        <w:rPr>
          <w:rFonts w:hint="eastAsia" w:ascii="宋体" w:hAnsi="宋体" w:eastAsia="宋体" w:cs="宋体"/>
          <w:color w:val="auto"/>
          <w:sz w:val="24"/>
          <w:szCs w:val="24"/>
          <w:highlight w:val="none"/>
        </w:rPr>
        <w:t>水）</w:t>
      </w:r>
      <w:r>
        <w:rPr>
          <w:rFonts w:hint="eastAsia" w:ascii="宋体" w:hAnsi="宋体" w:eastAsia="宋体" w:cs="宋体"/>
          <w:color w:val="auto"/>
          <w:spacing w:val="-3"/>
          <w:sz w:val="24"/>
          <w:szCs w:val="24"/>
          <w:highlight w:val="none"/>
        </w:rPr>
        <w:t>工</w:t>
      </w:r>
      <w:r>
        <w:rPr>
          <w:rFonts w:hint="eastAsia" w:ascii="宋体" w:hAnsi="宋体" w:eastAsia="宋体" w:cs="宋体"/>
          <w:color w:val="auto"/>
          <w:sz w:val="24"/>
          <w:szCs w:val="24"/>
          <w:highlight w:val="none"/>
        </w:rPr>
        <w:t>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年</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建议</w:t>
      </w:r>
      <w:r>
        <w:rPr>
          <w:rFonts w:hint="eastAsia" w:ascii="宋体" w:hAnsi="宋体" w:eastAsia="宋体" w:cs="宋体"/>
          <w:color w:val="auto"/>
          <w:spacing w:val="-3"/>
          <w:sz w:val="24"/>
          <w:szCs w:val="24"/>
          <w:highlight w:val="none"/>
        </w:rPr>
        <w:t>道</w:t>
      </w:r>
      <w:r>
        <w:rPr>
          <w:rFonts w:hint="eastAsia" w:ascii="宋体" w:hAnsi="宋体" w:eastAsia="宋体" w:cs="宋体"/>
          <w:color w:val="auto"/>
          <w:sz w:val="24"/>
          <w:szCs w:val="24"/>
          <w:highlight w:val="none"/>
        </w:rPr>
        <w:t>路工</w:t>
      </w:r>
      <w:r>
        <w:rPr>
          <w:rFonts w:hint="eastAsia" w:ascii="宋体" w:hAnsi="宋体" w:eastAsia="宋体" w:cs="宋体"/>
          <w:color w:val="auto"/>
          <w:spacing w:val="-3"/>
          <w:sz w:val="24"/>
          <w:szCs w:val="24"/>
          <w:highlight w:val="none"/>
        </w:rPr>
        <w:t>程</w:t>
      </w:r>
      <w:r>
        <w:rPr>
          <w:rFonts w:hint="eastAsia" w:ascii="宋体" w:hAnsi="宋体" w:eastAsia="宋体" w:cs="宋体"/>
          <w:color w:val="auto"/>
          <w:sz w:val="24"/>
          <w:szCs w:val="24"/>
          <w:highlight w:val="none"/>
        </w:rPr>
        <w:t>中的</w:t>
      </w:r>
      <w:r>
        <w:rPr>
          <w:rFonts w:hint="eastAsia" w:ascii="宋体" w:hAnsi="宋体" w:eastAsia="宋体" w:cs="宋体"/>
          <w:color w:val="auto"/>
          <w:spacing w:val="-3"/>
          <w:sz w:val="24"/>
          <w:szCs w:val="24"/>
          <w:highlight w:val="none"/>
        </w:rPr>
        <w:t>排</w:t>
      </w:r>
      <w:r>
        <w:rPr>
          <w:rFonts w:hint="eastAsia" w:ascii="宋体" w:hAnsi="宋体" w:eastAsia="宋体" w:cs="宋体"/>
          <w:color w:val="auto"/>
          <w:sz w:val="24"/>
          <w:szCs w:val="24"/>
          <w:highlight w:val="none"/>
        </w:rPr>
        <w:t>水工</w:t>
      </w:r>
      <w:r>
        <w:rPr>
          <w:rFonts w:hint="eastAsia" w:ascii="宋体" w:hAnsi="宋体" w:eastAsia="宋体" w:cs="宋体"/>
          <w:color w:val="auto"/>
          <w:spacing w:val="-3"/>
          <w:sz w:val="24"/>
          <w:szCs w:val="24"/>
          <w:highlight w:val="none"/>
        </w:rPr>
        <w:t>程</w:t>
      </w:r>
      <w:r>
        <w:rPr>
          <w:rFonts w:hint="eastAsia" w:ascii="宋体" w:hAnsi="宋体" w:eastAsia="宋体" w:cs="宋体"/>
          <w:color w:val="auto"/>
          <w:sz w:val="24"/>
          <w:szCs w:val="24"/>
          <w:highlight w:val="none"/>
        </w:rPr>
        <w:t>为</w:t>
      </w:r>
      <w:r>
        <w:rPr>
          <w:rFonts w:hint="eastAsia" w:ascii="宋体" w:hAnsi="宋体" w:eastAsia="宋体" w:cs="宋体"/>
          <w:color w:val="auto"/>
          <w:spacing w:val="-55"/>
          <w:sz w:val="24"/>
          <w:szCs w:val="24"/>
          <w:highlight w:val="none"/>
        </w:rPr>
        <w:t xml:space="preserve"> </w:t>
      </w:r>
      <w:r>
        <w:rPr>
          <w:rFonts w:hint="eastAsia" w:ascii="宋体" w:hAnsi="宋体" w:eastAsia="宋体" w:cs="宋体"/>
          <w:color w:val="auto"/>
          <w:sz w:val="24"/>
          <w:szCs w:val="24"/>
          <w:highlight w:val="none"/>
        </w:rPr>
        <w:t>3</w:t>
      </w:r>
      <w:r>
        <w:rPr>
          <w:rFonts w:hint="eastAsia" w:ascii="宋体" w:hAnsi="宋体" w:eastAsia="宋体" w:cs="宋体"/>
          <w:color w:val="auto"/>
          <w:spacing w:val="-55"/>
          <w:sz w:val="24"/>
          <w:szCs w:val="24"/>
          <w:highlight w:val="none"/>
        </w:rPr>
        <w:t xml:space="preserve"> </w:t>
      </w:r>
      <w:r>
        <w:rPr>
          <w:rFonts w:hint="eastAsia" w:ascii="宋体" w:hAnsi="宋体" w:eastAsia="宋体" w:cs="宋体"/>
          <w:color w:val="auto"/>
          <w:sz w:val="24"/>
          <w:szCs w:val="24"/>
          <w:highlight w:val="none"/>
        </w:rPr>
        <w:t>年）；</w:t>
      </w:r>
    </w:p>
    <w:p w14:paraId="010F557B">
      <w:pPr>
        <w:pStyle w:val="196"/>
        <w:pageBreakBefore w:val="0"/>
        <w:numPr>
          <w:ilvl w:val="0"/>
          <w:numId w:val="0"/>
        </w:numPr>
        <w:tabs>
          <w:tab w:val="left" w:pos="666"/>
          <w:tab w:val="left" w:pos="4734"/>
        </w:tabs>
        <w:kinsoku/>
        <w:overflowPunct/>
        <w:topLinePunct w:val="0"/>
        <w:bidi w:val="0"/>
        <w:snapToGrid/>
        <w:spacing w:before="0" w:after="0" w:line="560" w:lineRule="exact"/>
        <w:ind w:leftChars="20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4.</w:t>
      </w:r>
      <w:r>
        <w:rPr>
          <w:rFonts w:hint="eastAsia" w:ascii="宋体" w:hAnsi="宋体" w:eastAsia="宋体" w:cs="宋体"/>
          <w:color w:val="auto"/>
          <w:spacing w:val="-3"/>
          <w:sz w:val="24"/>
          <w:szCs w:val="24"/>
          <w:highlight w:val="none"/>
        </w:rPr>
        <w:t>绿</w:t>
      </w:r>
      <w:r>
        <w:rPr>
          <w:rFonts w:hint="eastAsia" w:ascii="宋体" w:hAnsi="宋体" w:eastAsia="宋体" w:cs="宋体"/>
          <w:color w:val="auto"/>
          <w:sz w:val="24"/>
          <w:szCs w:val="24"/>
          <w:highlight w:val="none"/>
        </w:rPr>
        <w:t>化工</w:t>
      </w:r>
      <w:r>
        <w:rPr>
          <w:rFonts w:hint="eastAsia" w:ascii="宋体" w:hAnsi="宋体" w:eastAsia="宋体" w:cs="宋体"/>
          <w:color w:val="auto"/>
          <w:spacing w:val="-3"/>
          <w:sz w:val="24"/>
          <w:szCs w:val="24"/>
          <w:highlight w:val="none"/>
        </w:rPr>
        <w:t>程</w:t>
      </w:r>
      <w:r>
        <w:rPr>
          <w:rFonts w:hint="eastAsia" w:ascii="宋体" w:hAnsi="宋体" w:eastAsia="宋体" w:cs="宋体"/>
          <w:color w:val="auto"/>
          <w:sz w:val="24"/>
          <w:szCs w:val="24"/>
          <w:highlight w:val="none"/>
        </w:rPr>
        <w:t>为</w:t>
      </w:r>
      <w:r>
        <w:rPr>
          <w:rFonts w:hint="eastAsia" w:ascii="宋体" w:hAnsi="宋体" w:eastAsia="宋体" w:cs="宋体"/>
          <w:color w:val="auto"/>
          <w:spacing w:val="7"/>
          <w:sz w:val="24"/>
          <w:szCs w:val="24"/>
          <w:highlight w:val="none"/>
        </w:rPr>
        <w:t xml:space="preserve"> </w:t>
      </w:r>
      <w:r>
        <w:rPr>
          <w:rFonts w:hint="eastAsia" w:ascii="宋体" w:hAnsi="宋体" w:eastAsia="宋体" w:cs="宋体"/>
          <w:color w:val="auto"/>
          <w:sz w:val="24"/>
          <w:szCs w:val="24"/>
          <w:highlight w:val="none"/>
          <w:u w:val="single"/>
        </w:rPr>
        <w:t>单</w:t>
      </w:r>
      <w:r>
        <w:rPr>
          <w:rFonts w:hint="eastAsia" w:ascii="宋体" w:hAnsi="宋体" w:eastAsia="宋体" w:cs="宋体"/>
          <w:color w:val="auto"/>
          <w:spacing w:val="-3"/>
          <w:sz w:val="24"/>
          <w:szCs w:val="24"/>
          <w:highlight w:val="none"/>
          <w:u w:val="single"/>
        </w:rPr>
        <w:t>位</w:t>
      </w:r>
      <w:r>
        <w:rPr>
          <w:rFonts w:hint="eastAsia" w:ascii="宋体" w:hAnsi="宋体" w:eastAsia="宋体" w:cs="宋体"/>
          <w:color w:val="auto"/>
          <w:sz w:val="24"/>
          <w:szCs w:val="24"/>
          <w:highlight w:val="none"/>
          <w:u w:val="single"/>
        </w:rPr>
        <w:t>工程</w:t>
      </w:r>
      <w:r>
        <w:rPr>
          <w:rFonts w:hint="eastAsia" w:ascii="宋体" w:hAnsi="宋体" w:eastAsia="宋体" w:cs="宋体"/>
          <w:color w:val="auto"/>
          <w:spacing w:val="-3"/>
          <w:sz w:val="24"/>
          <w:szCs w:val="24"/>
          <w:highlight w:val="none"/>
          <w:u w:val="single"/>
        </w:rPr>
        <w:t>竣</w:t>
      </w:r>
      <w:r>
        <w:rPr>
          <w:rFonts w:hint="eastAsia" w:ascii="宋体" w:hAnsi="宋体" w:eastAsia="宋体" w:cs="宋体"/>
          <w:color w:val="auto"/>
          <w:sz w:val="24"/>
          <w:szCs w:val="24"/>
          <w:highlight w:val="none"/>
          <w:u w:val="single"/>
        </w:rPr>
        <w:t>工验</w:t>
      </w:r>
      <w:r>
        <w:rPr>
          <w:rFonts w:hint="eastAsia" w:ascii="宋体" w:hAnsi="宋体" w:eastAsia="宋体" w:cs="宋体"/>
          <w:color w:val="auto"/>
          <w:spacing w:val="-3"/>
          <w:sz w:val="24"/>
          <w:szCs w:val="24"/>
          <w:highlight w:val="none"/>
          <w:u w:val="single"/>
        </w:rPr>
        <w:t>收</w:t>
      </w:r>
      <w:r>
        <w:rPr>
          <w:rFonts w:hint="eastAsia" w:ascii="宋体" w:hAnsi="宋体" w:eastAsia="宋体" w:cs="宋体"/>
          <w:color w:val="auto"/>
          <w:sz w:val="24"/>
          <w:szCs w:val="24"/>
          <w:highlight w:val="none"/>
          <w:u w:val="single"/>
        </w:rPr>
        <w:t>合格后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pacing w:val="-3"/>
          <w:sz w:val="24"/>
          <w:szCs w:val="24"/>
          <w:highlight w:val="none"/>
          <w:u w:val="single"/>
        </w:rPr>
        <w:t>年</w:t>
      </w:r>
      <w:r>
        <w:rPr>
          <w:rFonts w:hint="eastAsia" w:ascii="宋体" w:hAnsi="宋体" w:eastAsia="宋体" w:cs="宋体"/>
          <w:color w:val="auto"/>
          <w:sz w:val="24"/>
          <w:szCs w:val="24"/>
          <w:highlight w:val="none"/>
        </w:rPr>
        <w:t>；</w:t>
      </w:r>
    </w:p>
    <w:p w14:paraId="4247A8FF">
      <w:pPr>
        <w:pStyle w:val="196"/>
        <w:pageBreakBefore w:val="0"/>
        <w:numPr>
          <w:ilvl w:val="0"/>
          <w:numId w:val="0"/>
        </w:numPr>
        <w:tabs>
          <w:tab w:val="left" w:pos="666"/>
          <w:tab w:val="left" w:pos="4734"/>
        </w:tabs>
        <w:kinsoku/>
        <w:overflowPunct/>
        <w:topLinePunct w:val="0"/>
        <w:bidi w:val="0"/>
        <w:snapToGrid/>
        <w:spacing w:before="0" w:after="0" w:line="560" w:lineRule="exact"/>
        <w:ind w:leftChars="200" w:right="0" w:rightChars="0"/>
        <w:jc w:val="left"/>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eastAsia="zh-CN"/>
        </w:rPr>
        <w:t>5.</w:t>
      </w:r>
      <w:r>
        <w:rPr>
          <w:rFonts w:hint="eastAsia" w:ascii="宋体" w:hAnsi="宋体" w:eastAsia="宋体" w:cs="宋体"/>
          <w:color w:val="auto"/>
          <w:spacing w:val="-3"/>
          <w:sz w:val="24"/>
          <w:szCs w:val="24"/>
          <w:highlight w:val="none"/>
        </w:rPr>
        <w:t xml:space="preserve">地下防水工程为 </w:t>
      </w:r>
      <w:r>
        <w:rPr>
          <w:rFonts w:hint="eastAsia" w:ascii="宋体" w:hAnsi="宋体" w:eastAsia="宋体" w:cs="宋体"/>
          <w:color w:val="auto"/>
          <w:spacing w:val="-3"/>
          <w:sz w:val="24"/>
          <w:szCs w:val="24"/>
          <w:highlight w:val="none"/>
          <w:lang w:val="en-US" w:eastAsia="zh-CN"/>
        </w:rPr>
        <w:t>5</w:t>
      </w:r>
      <w:r>
        <w:rPr>
          <w:rFonts w:hint="eastAsia" w:ascii="宋体" w:hAnsi="宋体" w:eastAsia="宋体" w:cs="宋体"/>
          <w:color w:val="auto"/>
          <w:spacing w:val="-3"/>
          <w:sz w:val="24"/>
          <w:szCs w:val="24"/>
          <w:highlight w:val="none"/>
        </w:rPr>
        <w:t xml:space="preserve">年（建议为 5 年）； </w:t>
      </w:r>
    </w:p>
    <w:p w14:paraId="22B044E4">
      <w:pPr>
        <w:pStyle w:val="196"/>
        <w:pageBreakBefore w:val="0"/>
        <w:numPr>
          <w:ilvl w:val="0"/>
          <w:numId w:val="0"/>
        </w:numPr>
        <w:tabs>
          <w:tab w:val="left" w:pos="666"/>
          <w:tab w:val="left" w:pos="4734"/>
        </w:tabs>
        <w:kinsoku/>
        <w:overflowPunct/>
        <w:topLinePunct w:val="0"/>
        <w:bidi w:val="0"/>
        <w:snapToGrid/>
        <w:spacing w:before="0" w:after="0" w:line="560" w:lineRule="exact"/>
        <w:ind w:leftChars="200" w:right="0" w:rightChars="0"/>
        <w:jc w:val="left"/>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eastAsia="zh-CN"/>
        </w:rPr>
        <w:t>6.</w:t>
      </w:r>
      <w:r>
        <w:rPr>
          <w:rFonts w:hint="eastAsia" w:ascii="宋体" w:hAnsi="宋体" w:eastAsia="宋体" w:cs="宋体"/>
          <w:color w:val="auto"/>
          <w:spacing w:val="-3"/>
          <w:sz w:val="24"/>
          <w:szCs w:val="24"/>
          <w:highlight w:val="none"/>
        </w:rPr>
        <w:t>其他附属工程为</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rPr>
        <w:t>年；</w:t>
      </w:r>
    </w:p>
    <w:p w14:paraId="0B920D12">
      <w:pPr>
        <w:pStyle w:val="196"/>
        <w:pageBreakBefore w:val="0"/>
        <w:numPr>
          <w:ilvl w:val="0"/>
          <w:numId w:val="0"/>
        </w:numPr>
        <w:tabs>
          <w:tab w:val="left" w:pos="666"/>
          <w:tab w:val="left" w:pos="4734"/>
        </w:tabs>
        <w:kinsoku/>
        <w:overflowPunct/>
        <w:topLinePunct w:val="0"/>
        <w:bidi w:val="0"/>
        <w:snapToGrid/>
        <w:spacing w:before="0" w:after="0" w:line="560" w:lineRule="exact"/>
        <w:ind w:leftChars="200" w:right="0" w:rightChars="0"/>
        <w:jc w:val="left"/>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lang w:val="en-US" w:eastAsia="zh-CN"/>
        </w:rPr>
        <w:t>7.</w:t>
      </w:r>
      <w:r>
        <w:rPr>
          <w:rFonts w:hint="eastAsia" w:ascii="宋体" w:hAnsi="宋体" w:eastAsia="宋体" w:cs="宋体"/>
          <w:color w:val="auto"/>
          <w:spacing w:val="-3"/>
          <w:sz w:val="24"/>
          <w:szCs w:val="24"/>
          <w:highlight w:val="none"/>
        </w:rPr>
        <w:t>其他项目保修期限约定如下：</w:t>
      </w:r>
    </w:p>
    <w:p w14:paraId="1AE3C1D1">
      <w:pPr>
        <w:pStyle w:val="19"/>
        <w:keepNext w:val="0"/>
        <w:keepLines w:val="0"/>
        <w:pageBreakBefore w:val="0"/>
        <w:widowControl w:val="0"/>
        <w:kinsoku/>
        <w:wordWrap/>
        <w:overflowPunct/>
        <w:topLinePunct w:val="0"/>
        <w:autoSpaceDE w:val="0"/>
        <w:autoSpaceDN w:val="0"/>
        <w:bidi w:val="0"/>
        <w:adjustRightInd w:val="0"/>
        <w:snapToGrid/>
        <w:spacing w:line="560" w:lineRule="exact"/>
        <w:ind w:righ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质量保修期自工程竣工验收合格之日</w:t>
      </w:r>
      <w:r>
        <w:rPr>
          <w:rFonts w:hint="eastAsia" w:ascii="宋体" w:hAnsi="宋体" w:eastAsia="宋体" w:cs="宋体"/>
          <w:color w:val="auto"/>
          <w:sz w:val="24"/>
          <w:szCs w:val="24"/>
          <w:highlight w:val="none"/>
          <w:lang w:val="en-US" w:eastAsia="zh-CN"/>
        </w:rPr>
        <w:t>起计</w:t>
      </w:r>
      <w:r>
        <w:rPr>
          <w:rFonts w:hint="eastAsia" w:ascii="宋体" w:hAnsi="宋体" w:eastAsia="宋体" w:cs="宋体"/>
          <w:color w:val="auto"/>
          <w:sz w:val="24"/>
          <w:szCs w:val="24"/>
          <w:highlight w:val="none"/>
        </w:rPr>
        <w:t>算。</w:t>
      </w:r>
    </w:p>
    <w:p w14:paraId="08B9D271">
      <w:pPr>
        <w:pStyle w:val="19"/>
        <w:pageBreakBefore w:val="0"/>
        <w:kinsoku/>
        <w:overflowPunct/>
        <w:topLinePunct w:val="0"/>
        <w:bidi w:val="0"/>
        <w:snapToGrid/>
        <w:spacing w:line="560" w:lineRule="exact"/>
        <w:ind w:left="332" w:right="557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14:paraId="3CCC3D64">
      <w:pPr>
        <w:pStyle w:val="19"/>
        <w:pageBreakBefore w:val="0"/>
        <w:kinsoku/>
        <w:overflowPunct/>
        <w:topLinePunct w:val="0"/>
        <w:bidi w:val="0"/>
        <w:snapToGrid/>
        <w:spacing w:line="560" w:lineRule="exact"/>
        <w:ind w:left="332" w:right="402" w:firstLine="46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工程缺陷责任期为</w:t>
      </w:r>
      <w:r>
        <w:rPr>
          <w:rFonts w:hint="eastAsia" w:ascii="宋体" w:hAnsi="宋体" w:eastAsia="宋体" w:cs="宋体"/>
          <w:color w:val="auto"/>
          <w:spacing w:val="-3"/>
          <w:sz w:val="24"/>
          <w:szCs w:val="24"/>
          <w:highlight w:val="none"/>
          <w:u w:val="single"/>
          <w:lang w:val="en-US" w:eastAsia="zh-CN"/>
        </w:rPr>
        <w:t>12</w:t>
      </w:r>
      <w:r>
        <w:rPr>
          <w:rFonts w:hint="eastAsia" w:ascii="宋体" w:hAnsi="宋体" w:eastAsia="宋体" w:cs="宋体"/>
          <w:color w:val="auto"/>
          <w:spacing w:val="-3"/>
          <w:sz w:val="24"/>
          <w:szCs w:val="24"/>
          <w:highlight w:val="none"/>
        </w:rPr>
        <w:t>个月（</w:t>
      </w:r>
      <w:r>
        <w:rPr>
          <w:rFonts w:hint="eastAsia" w:ascii="宋体" w:hAnsi="宋体" w:eastAsia="宋体" w:cs="宋体"/>
          <w:color w:val="auto"/>
          <w:spacing w:val="-10"/>
          <w:sz w:val="24"/>
          <w:szCs w:val="24"/>
          <w:highlight w:val="none"/>
        </w:rPr>
        <w:t xml:space="preserve">最长不超过 </w:t>
      </w:r>
      <w:r>
        <w:rPr>
          <w:rFonts w:hint="eastAsia" w:ascii="宋体" w:hAnsi="宋体" w:eastAsia="宋体" w:cs="宋体"/>
          <w:color w:val="auto"/>
          <w:sz w:val="24"/>
          <w:szCs w:val="24"/>
          <w:highlight w:val="none"/>
        </w:rPr>
        <w:t>24</w:t>
      </w:r>
      <w:r>
        <w:rPr>
          <w:rFonts w:hint="eastAsia" w:ascii="宋体" w:hAnsi="宋体" w:eastAsia="宋体" w:cs="宋体"/>
          <w:color w:val="auto"/>
          <w:spacing w:val="-18"/>
          <w:sz w:val="24"/>
          <w:szCs w:val="24"/>
          <w:highlight w:val="none"/>
        </w:rPr>
        <w:t xml:space="preserve"> 个月</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缺陷责任期自工程竣工验收合格之日起计算。单位工程先于全部工程进行验收，单位工程缺陷责任期自单位工程验收合格之日起算。</w:t>
      </w:r>
    </w:p>
    <w:p w14:paraId="07E5CA74">
      <w:pPr>
        <w:pStyle w:val="19"/>
        <w:pageBreakBefore w:val="0"/>
        <w:kinsoku/>
        <w:overflowPunct/>
        <w:topLinePunct w:val="0"/>
        <w:bidi w:val="0"/>
        <w:snapToGrid/>
        <w:spacing w:before="1" w:line="560" w:lineRule="exact"/>
        <w:ind w:left="33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w:t>
      </w:r>
      <w:r>
        <w:rPr>
          <w:rFonts w:hint="eastAsia" w:ascii="宋体" w:hAnsi="宋体" w:eastAsia="宋体" w:cs="宋体"/>
          <w:color w:val="auto"/>
          <w:sz w:val="24"/>
          <w:szCs w:val="24"/>
          <w:highlight w:val="none"/>
          <w:u w:val="none"/>
        </w:rPr>
        <w:t>期满之</w:t>
      </w:r>
      <w:r>
        <w:rPr>
          <w:rFonts w:hint="eastAsia" w:ascii="宋体" w:hAnsi="宋体" w:eastAsia="宋体" w:cs="宋体"/>
          <w:color w:val="auto"/>
          <w:sz w:val="24"/>
          <w:szCs w:val="24"/>
          <w:highlight w:val="none"/>
        </w:rPr>
        <w:t>日起</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rPr>
        <w:t>天</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发包人应退还剩余的质量保证金。</w:t>
      </w:r>
    </w:p>
    <w:p w14:paraId="578D3CFB">
      <w:pPr>
        <w:pStyle w:val="19"/>
        <w:pageBreakBefore w:val="0"/>
        <w:kinsoku/>
        <w:overflowPunct/>
        <w:topLinePunct w:val="0"/>
        <w:bidi w:val="0"/>
        <w:snapToGrid/>
        <w:spacing w:line="560" w:lineRule="exact"/>
        <w:ind w:right="5574"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四、质量保修责任</w:t>
      </w:r>
    </w:p>
    <w:p w14:paraId="11157F7F">
      <w:pPr>
        <w:pStyle w:val="196"/>
        <w:pageBreakBefore w:val="0"/>
        <w:numPr>
          <w:ilvl w:val="0"/>
          <w:numId w:val="0"/>
        </w:numPr>
        <w:tabs>
          <w:tab w:val="left" w:pos="666"/>
        </w:tabs>
        <w:kinsoku/>
        <w:overflowPunct/>
        <w:topLinePunct w:val="0"/>
        <w:bidi w:val="0"/>
        <w:snapToGrid/>
        <w:spacing w:before="0" w:after="0" w:line="560" w:lineRule="exact"/>
        <w:ind w:leftChars="200" w:right="405" w:rightChars="0" w:firstLine="234"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1.</w:t>
      </w:r>
      <w:r>
        <w:rPr>
          <w:rFonts w:hint="eastAsia" w:ascii="宋体" w:hAnsi="宋体" w:eastAsia="宋体" w:cs="宋体"/>
          <w:color w:val="auto"/>
          <w:spacing w:val="-3"/>
          <w:sz w:val="24"/>
          <w:szCs w:val="24"/>
          <w:highlight w:val="none"/>
        </w:rPr>
        <w:t>属于保修范围、内容的项目，承包人应当在接到保修通知之</w:t>
      </w:r>
      <w:r>
        <w:rPr>
          <w:rFonts w:hint="eastAsia" w:ascii="宋体" w:hAnsi="宋体" w:eastAsia="宋体" w:cs="宋体"/>
          <w:color w:val="auto"/>
          <w:spacing w:val="-3"/>
          <w:sz w:val="24"/>
          <w:szCs w:val="24"/>
          <w:highlight w:val="none"/>
          <w:lang w:val="en-US" w:eastAsia="zh-CN"/>
        </w:rPr>
        <w:t xml:space="preserve">  </w:t>
      </w:r>
      <w:r>
        <w:rPr>
          <w:rFonts w:hint="eastAsia" w:ascii="宋体" w:hAnsi="宋体" w:eastAsia="宋体" w:cs="宋体"/>
          <w:color w:val="auto"/>
          <w:spacing w:val="-3"/>
          <w:sz w:val="24"/>
          <w:szCs w:val="24"/>
          <w:highlight w:val="none"/>
        </w:rPr>
        <w:t>日起天内派人保修。承包人不在约定期限内派人保修的，发包人可以委托他人修理，修理费用从质量保证金内扣除。</w:t>
      </w:r>
    </w:p>
    <w:p w14:paraId="3A3E07D5">
      <w:pPr>
        <w:pStyle w:val="196"/>
        <w:pageBreakBefore w:val="0"/>
        <w:numPr>
          <w:ilvl w:val="0"/>
          <w:numId w:val="0"/>
        </w:numPr>
        <w:tabs>
          <w:tab w:val="left" w:pos="666"/>
        </w:tabs>
        <w:kinsoku/>
        <w:overflowPunct/>
        <w:topLinePunct w:val="0"/>
        <w:bidi w:val="0"/>
        <w:snapToGrid/>
        <w:spacing w:before="0" w:after="0" w:line="560" w:lineRule="exact"/>
        <w:ind w:leftChars="200" w:right="0" w:rightChars="0" w:firstLine="234"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2.</w:t>
      </w:r>
      <w:r>
        <w:rPr>
          <w:rFonts w:hint="eastAsia" w:ascii="宋体" w:hAnsi="宋体" w:eastAsia="宋体" w:cs="宋体"/>
          <w:color w:val="auto"/>
          <w:spacing w:val="-3"/>
          <w:sz w:val="24"/>
          <w:szCs w:val="24"/>
          <w:highlight w:val="none"/>
        </w:rPr>
        <w:t>发生紧急事故需抢修的，承包人在接到事故通知后，应当立即到达事故现场抢修。</w:t>
      </w:r>
    </w:p>
    <w:p w14:paraId="1B18DFC8">
      <w:pPr>
        <w:pStyle w:val="196"/>
        <w:pageBreakBefore w:val="0"/>
        <w:numPr>
          <w:ilvl w:val="0"/>
          <w:numId w:val="0"/>
        </w:numPr>
        <w:tabs>
          <w:tab w:val="left" w:pos="666"/>
        </w:tabs>
        <w:kinsoku/>
        <w:overflowPunct/>
        <w:topLinePunct w:val="0"/>
        <w:bidi w:val="0"/>
        <w:snapToGrid/>
        <w:spacing w:before="1" w:after="0" w:line="560" w:lineRule="exact"/>
        <w:ind w:leftChars="200" w:right="330" w:rightChars="0" w:firstLine="234"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3.</w:t>
      </w:r>
      <w:r>
        <w:rPr>
          <w:rFonts w:hint="eastAsia" w:ascii="宋体" w:hAnsi="宋体" w:eastAsia="宋体" w:cs="宋体"/>
          <w:color w:val="auto"/>
          <w:spacing w:val="-3"/>
          <w:sz w:val="24"/>
          <w:szCs w:val="24"/>
          <w:highlight w:val="none"/>
        </w:rPr>
        <w:t>对于涉及结构安全的质量问题，应当按照《建设工程质量管理条例》的规定，立即向当地建设行</w:t>
      </w:r>
      <w:r>
        <w:rPr>
          <w:rFonts w:hint="eastAsia" w:ascii="宋体" w:hAnsi="宋体" w:eastAsia="宋体" w:cs="宋体"/>
          <w:color w:val="auto"/>
          <w:spacing w:val="-6"/>
          <w:sz w:val="24"/>
          <w:szCs w:val="24"/>
          <w:highlight w:val="none"/>
        </w:rPr>
        <w:t>政主管部门和有关部门报告，采取安全防范措施，并由原设计人或者具有相应资质等级的设计人提出</w:t>
      </w:r>
      <w:r>
        <w:rPr>
          <w:rFonts w:hint="eastAsia" w:ascii="宋体" w:hAnsi="宋体" w:eastAsia="宋体" w:cs="宋体"/>
          <w:color w:val="auto"/>
          <w:spacing w:val="-3"/>
          <w:sz w:val="24"/>
          <w:szCs w:val="24"/>
          <w:highlight w:val="none"/>
        </w:rPr>
        <w:t>保修方案，承包人实施保修。</w:t>
      </w:r>
    </w:p>
    <w:p w14:paraId="751CB57F">
      <w:pPr>
        <w:pStyle w:val="196"/>
        <w:pageBreakBefore w:val="0"/>
        <w:numPr>
          <w:ilvl w:val="0"/>
          <w:numId w:val="0"/>
        </w:numPr>
        <w:tabs>
          <w:tab w:val="left" w:pos="666"/>
        </w:tabs>
        <w:kinsoku/>
        <w:overflowPunct/>
        <w:topLinePunct w:val="0"/>
        <w:bidi w:val="0"/>
        <w:snapToGrid/>
        <w:spacing w:before="0" w:after="0" w:line="560" w:lineRule="exact"/>
        <w:ind w:leftChars="200" w:right="405" w:rightChars="0" w:firstLine="234" w:firstLineChars="100"/>
        <w:jc w:val="left"/>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4.质量保修完成后，由发包人组织验收。</w:t>
      </w:r>
    </w:p>
    <w:p w14:paraId="26B21285">
      <w:pPr>
        <w:pStyle w:val="196"/>
        <w:pageBreakBefore w:val="0"/>
        <w:numPr>
          <w:ilvl w:val="0"/>
          <w:numId w:val="0"/>
        </w:numPr>
        <w:tabs>
          <w:tab w:val="left" w:pos="666"/>
        </w:tabs>
        <w:kinsoku/>
        <w:overflowPunct/>
        <w:topLinePunct w:val="0"/>
        <w:bidi w:val="0"/>
        <w:snapToGrid/>
        <w:spacing w:before="0" w:after="0" w:line="560" w:lineRule="exact"/>
        <w:ind w:leftChars="200" w:right="405" w:rightChars="0" w:firstLine="234" w:firstLineChars="100"/>
        <w:jc w:val="left"/>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五、保修费用</w:t>
      </w:r>
    </w:p>
    <w:p w14:paraId="6C88E1D2">
      <w:pPr>
        <w:pStyle w:val="19"/>
        <w:keepNext w:val="0"/>
        <w:keepLines w:val="0"/>
        <w:pageBreakBefore w:val="0"/>
        <w:widowControl w:val="0"/>
        <w:kinsoku/>
        <w:wordWrap/>
        <w:overflowPunct/>
        <w:topLinePunct w:val="0"/>
        <w:autoSpaceDE w:val="0"/>
        <w:autoSpaceDN w:val="0"/>
        <w:bidi w:val="0"/>
        <w:adjustRightInd w:val="0"/>
        <w:snapToGrid/>
        <w:spacing w:line="560" w:lineRule="exact"/>
        <w:ind w:left="334"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保修费用由造成质量缺陷的责任方承担。</w:t>
      </w:r>
    </w:p>
    <w:p w14:paraId="0A5F120A">
      <w:pPr>
        <w:pStyle w:val="19"/>
        <w:keepNext w:val="0"/>
        <w:keepLines w:val="0"/>
        <w:pageBreakBefore w:val="0"/>
        <w:widowControl w:val="0"/>
        <w:kinsoku/>
        <w:wordWrap/>
        <w:overflowPunct/>
        <w:topLinePunct w:val="0"/>
        <w:autoSpaceDE w:val="0"/>
        <w:autoSpaceDN w:val="0"/>
        <w:bidi w:val="0"/>
        <w:adjustRightInd w:val="0"/>
        <w:snapToGrid/>
        <w:spacing w:line="560" w:lineRule="exact"/>
        <w:ind w:left="334"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六、双方约定的其他工程质量保修事项：</w:t>
      </w:r>
      <w:r>
        <w:rPr>
          <w:rFonts w:hint="eastAsia" w:ascii="宋体" w:hAnsi="宋体" w:eastAsia="宋体" w:cs="宋体"/>
          <w:color w:val="auto"/>
          <w:w w:val="100"/>
          <w:sz w:val="24"/>
          <w:szCs w:val="24"/>
          <w:highlight w:val="none"/>
          <w:u w:val="single"/>
        </w:rPr>
        <w:t xml:space="preserve"> </w:t>
      </w:r>
      <w:r>
        <w:rPr>
          <w:rFonts w:hint="eastAsia" w:ascii="宋体" w:hAnsi="宋体" w:eastAsia="宋体" w:cs="宋体"/>
          <w:color w:val="auto"/>
          <w:w w:val="100"/>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0DF9D66D">
      <w:pPr>
        <w:pStyle w:val="19"/>
        <w:pageBreakBefore w:val="0"/>
        <w:kinsoku/>
        <w:overflowPunct/>
        <w:topLinePunct w:val="0"/>
        <w:bidi w:val="0"/>
        <w:snapToGrid/>
        <w:spacing w:before="1" w:line="560" w:lineRule="exact"/>
        <w:ind w:left="332" w:right="330"/>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工程质量保修书由发包人、承包人在工程竣工验收前共同签署，作为施工合同附件，其有效期限至保</w:t>
      </w:r>
      <w:r>
        <w:rPr>
          <w:rFonts w:hint="eastAsia" w:ascii="宋体" w:hAnsi="宋体" w:eastAsia="宋体" w:cs="宋体"/>
          <w:color w:val="auto"/>
          <w:spacing w:val="-3"/>
          <w:sz w:val="24"/>
          <w:szCs w:val="24"/>
          <w:highlight w:val="none"/>
        </w:rPr>
        <w:t>修期满。</w:t>
      </w:r>
    </w:p>
    <w:p w14:paraId="44424248">
      <w:pPr>
        <w:pStyle w:val="19"/>
        <w:keepNext w:val="0"/>
        <w:keepLines w:val="0"/>
        <w:pageBreakBefore w:val="0"/>
        <w:widowControl w:val="0"/>
        <w:tabs>
          <w:tab w:val="left" w:pos="774"/>
          <w:tab w:val="left" w:pos="3578"/>
          <w:tab w:val="left" w:pos="3797"/>
          <w:tab w:val="left" w:pos="5063"/>
          <w:tab w:val="left" w:pos="5173"/>
          <w:tab w:val="left" w:pos="5504"/>
          <w:tab w:val="left" w:pos="8198"/>
          <w:tab w:val="left" w:pos="10300"/>
        </w:tabs>
        <w:kinsoku/>
        <w:wordWrap w:val="0"/>
        <w:overflowPunct/>
        <w:topLinePunct w:val="0"/>
        <w:autoSpaceDE w:val="0"/>
        <w:autoSpaceDN w:val="0"/>
        <w:bidi w:val="0"/>
        <w:adjustRightInd w:val="0"/>
        <w:snapToGrid/>
        <w:spacing w:before="171" w:line="460" w:lineRule="exact"/>
        <w:ind w:left="334" w:right="23" w:right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w:t>
      </w:r>
      <w:r>
        <w:rPr>
          <w:rFonts w:hint="eastAsia" w:ascii="宋体" w:hAnsi="宋体" w:eastAsia="宋体" w:cs="宋体"/>
          <w:color w:val="auto"/>
          <w:spacing w:val="-3"/>
          <w:sz w:val="24"/>
          <w:szCs w:val="24"/>
          <w:highlight w:val="none"/>
        </w:rPr>
        <w:t>包</w:t>
      </w:r>
      <w:r>
        <w:rPr>
          <w:rFonts w:hint="eastAsia" w:ascii="宋体" w:hAnsi="宋体" w:eastAsia="宋体" w:cs="宋体"/>
          <w:color w:val="auto"/>
          <w:sz w:val="24"/>
          <w:szCs w:val="24"/>
          <w:highlight w:val="none"/>
        </w:rPr>
        <w:t>人（</w:t>
      </w:r>
      <w:r>
        <w:rPr>
          <w:rFonts w:hint="eastAsia" w:ascii="宋体" w:hAnsi="宋体" w:eastAsia="宋体" w:cs="宋体"/>
          <w:color w:val="auto"/>
          <w:spacing w:val="-3"/>
          <w:sz w:val="24"/>
          <w:szCs w:val="24"/>
          <w:highlight w:val="none"/>
        </w:rPr>
        <w:t>公</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u w:val="single"/>
        </w:rPr>
        <w:t>崇左市江州区交通运输局</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承</w:t>
      </w:r>
      <w:r>
        <w:rPr>
          <w:rFonts w:hint="eastAsia" w:ascii="宋体" w:hAnsi="宋体" w:eastAsia="宋体" w:cs="宋体"/>
          <w:color w:val="auto"/>
          <w:spacing w:val="-3"/>
          <w:sz w:val="24"/>
          <w:szCs w:val="24"/>
          <w:highlight w:val="none"/>
        </w:rPr>
        <w:t>包</w:t>
      </w:r>
      <w:r>
        <w:rPr>
          <w:rFonts w:hint="eastAsia" w:ascii="宋体" w:hAnsi="宋体" w:eastAsia="宋体" w:cs="宋体"/>
          <w:color w:val="auto"/>
          <w:spacing w:val="-1"/>
          <w:sz w:val="24"/>
          <w:szCs w:val="24"/>
          <w:highlight w:val="none"/>
        </w:rPr>
        <w:t>人（</w:t>
      </w:r>
      <w:r>
        <w:rPr>
          <w:rFonts w:hint="eastAsia" w:ascii="宋体" w:hAnsi="宋体" w:eastAsia="宋体" w:cs="宋体"/>
          <w:color w:val="auto"/>
          <w:spacing w:val="-3"/>
          <w:sz w:val="24"/>
          <w:szCs w:val="24"/>
          <w:highlight w:val="none"/>
        </w:rPr>
        <w:t>公</w:t>
      </w:r>
      <w:r>
        <w:rPr>
          <w:rFonts w:hint="eastAsia" w:ascii="宋体" w:hAnsi="宋体" w:eastAsia="宋体" w:cs="宋体"/>
          <w:color w:val="auto"/>
          <w:sz w:val="24"/>
          <w:szCs w:val="24"/>
          <w:highlight w:val="none"/>
        </w:rPr>
        <w:t>章</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D377F5B">
      <w:pPr>
        <w:pStyle w:val="19"/>
        <w:keepNext w:val="0"/>
        <w:keepLines w:val="0"/>
        <w:pageBreakBefore w:val="0"/>
        <w:widowControl w:val="0"/>
        <w:tabs>
          <w:tab w:val="left" w:pos="774"/>
          <w:tab w:val="left" w:pos="3578"/>
          <w:tab w:val="left" w:pos="3686"/>
          <w:tab w:val="left" w:pos="5063"/>
          <w:tab w:val="left" w:pos="5173"/>
          <w:tab w:val="left" w:pos="5504"/>
          <w:tab w:val="left" w:pos="5612"/>
          <w:tab w:val="left" w:pos="8198"/>
          <w:tab w:val="left" w:pos="8306"/>
          <w:tab w:val="left" w:pos="8417"/>
        </w:tabs>
        <w:kinsoku/>
        <w:overflowPunct/>
        <w:topLinePunct w:val="0"/>
        <w:bidi w:val="0"/>
        <w:snapToGrid/>
        <w:spacing w:line="460" w:lineRule="exact"/>
        <w:ind w:left="5852" w:leftChars="158" w:right="1080" w:rightChars="0" w:hanging="5520" w:hangingChars="2300"/>
        <w:jc w:val="left"/>
        <w:textAlignment w:val="auto"/>
        <w:rPr>
          <w:rFonts w:hint="eastAsia" w:ascii="宋体" w:hAnsi="宋体" w:eastAsia="宋体" w:cs="宋体"/>
          <w:color w:val="auto"/>
          <w:spacing w:val="-3"/>
          <w:sz w:val="24"/>
          <w:szCs w:val="24"/>
          <w:highlight w:val="none"/>
          <w:u w:val="single"/>
          <w:lang w:val="en-US" w:eastAsia="zh-CN"/>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址</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崇左市江州区江南路</w:t>
      </w:r>
      <w:r>
        <w:rPr>
          <w:rFonts w:hint="eastAsia" w:ascii="宋体" w:hAnsi="宋体" w:eastAsia="宋体" w:cs="宋体"/>
          <w:color w:val="auto"/>
          <w:spacing w:val="-4"/>
          <w:sz w:val="24"/>
          <w:szCs w:val="24"/>
          <w:highlight w:val="none"/>
          <w:u w:val="single"/>
          <w:lang w:val="en-US" w:eastAsia="zh-CN"/>
        </w:rPr>
        <w:t xml:space="preserve">120号    </w:t>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rPr>
        <w:tab/>
      </w:r>
      <w:r>
        <w:rPr>
          <w:rFonts w:hint="eastAsia" w:ascii="宋体" w:hAnsi="宋体" w:eastAsia="宋体" w:cs="宋体"/>
          <w:color w:val="auto"/>
          <w:spacing w:val="-1"/>
          <w:sz w:val="24"/>
          <w:szCs w:val="24"/>
          <w:highlight w:val="none"/>
        </w:rPr>
        <w:t>址</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lang w:val="en-US" w:eastAsia="zh-CN"/>
        </w:rPr>
        <w:t xml:space="preserve">                          </w:t>
      </w:r>
    </w:p>
    <w:p w14:paraId="1D1A0C0E">
      <w:pPr>
        <w:pStyle w:val="19"/>
        <w:keepNext w:val="0"/>
        <w:keepLines w:val="0"/>
        <w:pageBreakBefore w:val="0"/>
        <w:widowControl w:val="0"/>
        <w:tabs>
          <w:tab w:val="left" w:pos="774"/>
          <w:tab w:val="left" w:pos="3578"/>
          <w:tab w:val="left" w:pos="3686"/>
          <w:tab w:val="left" w:pos="5063"/>
          <w:tab w:val="left" w:pos="5173"/>
          <w:tab w:val="left" w:pos="5504"/>
          <w:tab w:val="left" w:pos="5612"/>
          <w:tab w:val="left" w:pos="8198"/>
          <w:tab w:val="left" w:pos="8306"/>
          <w:tab w:val="left" w:pos="8417"/>
        </w:tabs>
        <w:kinsoku/>
        <w:wordWrap/>
        <w:overflowPunct/>
        <w:topLinePunct w:val="0"/>
        <w:autoSpaceDE w:val="0"/>
        <w:autoSpaceDN w:val="0"/>
        <w:bidi w:val="0"/>
        <w:adjustRightInd w:val="0"/>
        <w:snapToGrid/>
        <w:spacing w:line="460" w:lineRule="exact"/>
        <w:ind w:left="334" w:right="23" w:rightChars="0"/>
        <w:jc w:val="left"/>
        <w:textAlignment w:val="auto"/>
        <w:rPr>
          <w:rFonts w:hint="eastAsia" w:ascii="宋体" w:hAnsi="宋体" w:eastAsia="宋体" w:cs="宋体"/>
          <w:color w:val="auto"/>
          <w:spacing w:val="7"/>
          <w:sz w:val="24"/>
          <w:szCs w:val="24"/>
          <w:highlight w:val="none"/>
          <w:u w:val="single"/>
        </w:rPr>
      </w:pPr>
      <w:r>
        <w:rPr>
          <w:rFonts w:hint="eastAsia" w:ascii="宋体" w:hAnsi="宋体" w:eastAsia="宋体" w:cs="宋体"/>
          <w:color w:val="auto"/>
          <w:sz w:val="24"/>
          <w:szCs w:val="24"/>
          <w:highlight w:val="none"/>
        </w:rPr>
        <w:t>法</w:t>
      </w:r>
      <w:r>
        <w:rPr>
          <w:rFonts w:hint="eastAsia" w:ascii="宋体" w:hAnsi="宋体" w:eastAsia="宋体" w:cs="宋体"/>
          <w:color w:val="auto"/>
          <w:spacing w:val="-3"/>
          <w:sz w:val="24"/>
          <w:szCs w:val="24"/>
          <w:highlight w:val="none"/>
        </w:rPr>
        <w:t>定</w:t>
      </w:r>
      <w:r>
        <w:rPr>
          <w:rFonts w:hint="eastAsia" w:ascii="宋体" w:hAnsi="宋体" w:eastAsia="宋体" w:cs="宋体"/>
          <w:color w:val="auto"/>
          <w:sz w:val="24"/>
          <w:szCs w:val="24"/>
          <w:highlight w:val="none"/>
        </w:rPr>
        <w:t>代表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（签</w:t>
      </w:r>
      <w:r>
        <w:rPr>
          <w:rFonts w:hint="eastAsia" w:ascii="宋体" w:hAnsi="宋体" w:eastAsia="宋体" w:cs="宋体"/>
          <w:color w:val="auto"/>
          <w:spacing w:val="-3"/>
          <w:sz w:val="24"/>
          <w:szCs w:val="24"/>
          <w:highlight w:val="none"/>
        </w:rPr>
        <w:t>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法</w:t>
      </w:r>
      <w:r>
        <w:rPr>
          <w:rFonts w:hint="eastAsia" w:ascii="宋体" w:hAnsi="宋体" w:eastAsia="宋体" w:cs="宋体"/>
          <w:color w:val="auto"/>
          <w:spacing w:val="-3"/>
          <w:sz w:val="24"/>
          <w:szCs w:val="24"/>
          <w:highlight w:val="none"/>
        </w:rPr>
        <w:t>定</w:t>
      </w:r>
      <w:r>
        <w:rPr>
          <w:rFonts w:hint="eastAsia" w:ascii="宋体" w:hAnsi="宋体" w:eastAsia="宋体" w:cs="宋体"/>
          <w:color w:val="auto"/>
          <w:spacing w:val="-1"/>
          <w:sz w:val="24"/>
          <w:szCs w:val="24"/>
          <w:highlight w:val="none"/>
        </w:rPr>
        <w:t>代表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pacing w:val="-1"/>
          <w:sz w:val="24"/>
          <w:szCs w:val="24"/>
          <w:highlight w:val="none"/>
        </w:rPr>
        <w:t>（签</w:t>
      </w:r>
      <w:r>
        <w:rPr>
          <w:rFonts w:hint="eastAsia" w:ascii="宋体" w:hAnsi="宋体" w:eastAsia="宋体" w:cs="宋体"/>
          <w:color w:val="auto"/>
          <w:spacing w:val="-3"/>
          <w:sz w:val="24"/>
          <w:szCs w:val="24"/>
          <w:highlight w:val="none"/>
        </w:rPr>
        <w:t>字</w:t>
      </w:r>
      <w:r>
        <w:rPr>
          <w:rFonts w:hint="eastAsia"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pacing w:val="-1"/>
          <w:sz w:val="24"/>
          <w:szCs w:val="24"/>
          <w:highlight w:val="none"/>
          <w:u w:val="single"/>
        </w:rPr>
        <w:t xml:space="preserve">       </w:t>
      </w:r>
      <w:r>
        <w:rPr>
          <w:rFonts w:hint="eastAsia" w:ascii="宋体" w:hAnsi="宋体" w:eastAsia="宋体" w:cs="宋体"/>
          <w:color w:val="auto"/>
          <w:spacing w:val="7"/>
          <w:sz w:val="24"/>
          <w:szCs w:val="24"/>
          <w:highlight w:val="none"/>
          <w:u w:val="single"/>
        </w:rPr>
        <w:t xml:space="preserve"> </w:t>
      </w:r>
    </w:p>
    <w:p w14:paraId="67BB905B">
      <w:pPr>
        <w:pStyle w:val="19"/>
        <w:keepNext w:val="0"/>
        <w:keepLines w:val="0"/>
        <w:pageBreakBefore w:val="0"/>
        <w:widowControl w:val="0"/>
        <w:tabs>
          <w:tab w:val="left" w:pos="774"/>
          <w:tab w:val="left" w:pos="3578"/>
          <w:tab w:val="left" w:pos="3686"/>
          <w:tab w:val="left" w:pos="5063"/>
          <w:tab w:val="left" w:pos="5173"/>
          <w:tab w:val="left" w:pos="5504"/>
          <w:tab w:val="left" w:pos="5612"/>
          <w:tab w:val="left" w:pos="8198"/>
          <w:tab w:val="left" w:pos="8306"/>
          <w:tab w:val="left" w:pos="8417"/>
        </w:tabs>
        <w:kinsoku/>
        <w:wordWrap/>
        <w:overflowPunct/>
        <w:topLinePunct w:val="0"/>
        <w:autoSpaceDE w:val="0"/>
        <w:autoSpaceDN w:val="0"/>
        <w:bidi w:val="0"/>
        <w:adjustRightInd w:val="0"/>
        <w:snapToGrid/>
        <w:spacing w:line="460" w:lineRule="exact"/>
        <w:ind w:left="334" w:right="23" w:rightChars="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pacing w:val="-1"/>
          <w:sz w:val="24"/>
          <w:szCs w:val="24"/>
          <w:highlight w:val="none"/>
        </w:rPr>
        <w:t>委</w:t>
      </w:r>
      <w:r>
        <w:rPr>
          <w:rFonts w:hint="eastAsia" w:ascii="宋体" w:hAnsi="宋体" w:eastAsia="宋体" w:cs="宋体"/>
          <w:color w:val="auto"/>
          <w:spacing w:val="-3"/>
          <w:sz w:val="24"/>
          <w:szCs w:val="24"/>
          <w:highlight w:val="none"/>
        </w:rPr>
        <w:t>托</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z w:val="24"/>
          <w:szCs w:val="24"/>
          <w:highlight w:val="none"/>
        </w:rPr>
        <w:t>代理</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（签</w:t>
      </w:r>
      <w:r>
        <w:rPr>
          <w:rFonts w:hint="eastAsia" w:ascii="宋体" w:hAnsi="宋体" w:eastAsia="宋体" w:cs="宋体"/>
          <w:color w:val="auto"/>
          <w:spacing w:val="-3"/>
          <w:sz w:val="24"/>
          <w:szCs w:val="24"/>
          <w:highlight w:val="none"/>
        </w:rPr>
        <w:t>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委</w:t>
      </w:r>
      <w:r>
        <w:rPr>
          <w:rFonts w:hint="eastAsia" w:ascii="宋体" w:hAnsi="宋体" w:eastAsia="宋体" w:cs="宋体"/>
          <w:color w:val="auto"/>
          <w:spacing w:val="-3"/>
          <w:sz w:val="24"/>
          <w:szCs w:val="24"/>
          <w:highlight w:val="none"/>
        </w:rPr>
        <w:t>托</w:t>
      </w:r>
      <w:r>
        <w:rPr>
          <w:rFonts w:hint="eastAsia" w:ascii="宋体" w:hAnsi="宋体" w:eastAsia="宋体" w:cs="宋体"/>
          <w:color w:val="auto"/>
          <w:spacing w:val="-1"/>
          <w:sz w:val="24"/>
          <w:szCs w:val="24"/>
          <w:highlight w:val="none"/>
        </w:rPr>
        <w:t>代理</w:t>
      </w:r>
      <w:r>
        <w:rPr>
          <w:rFonts w:hint="eastAsia" w:ascii="宋体" w:hAnsi="宋体" w:eastAsia="宋体" w:cs="宋体"/>
          <w:color w:val="auto"/>
          <w:spacing w:val="-3"/>
          <w:sz w:val="24"/>
          <w:szCs w:val="24"/>
          <w:highlight w:val="none"/>
        </w:rPr>
        <w:t>人</w:t>
      </w:r>
      <w:r>
        <w:rPr>
          <w:rFonts w:hint="eastAsia" w:ascii="宋体" w:hAnsi="宋体" w:eastAsia="宋体" w:cs="宋体"/>
          <w:color w:val="auto"/>
          <w:spacing w:val="-1"/>
          <w:sz w:val="24"/>
          <w:szCs w:val="24"/>
          <w:highlight w:val="none"/>
        </w:rPr>
        <w:t>（签</w:t>
      </w:r>
      <w:r>
        <w:rPr>
          <w:rFonts w:hint="eastAsia" w:ascii="宋体" w:hAnsi="宋体" w:eastAsia="宋体" w:cs="宋体"/>
          <w:color w:val="auto"/>
          <w:spacing w:val="-3"/>
          <w:sz w:val="24"/>
          <w:szCs w:val="24"/>
          <w:highlight w:val="none"/>
        </w:rPr>
        <w:t>字</w:t>
      </w:r>
      <w:r>
        <w:rPr>
          <w:rFonts w:hint="eastAsia" w:ascii="宋体" w:hAnsi="宋体" w:eastAsia="宋体" w:cs="宋体"/>
          <w:color w:val="auto"/>
          <w:spacing w:val="-1"/>
          <w:sz w:val="24"/>
          <w:szCs w:val="24"/>
          <w:highlight w:val="none"/>
        </w:rPr>
        <w:t>）：</w:t>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pacing w:val="-1"/>
          <w:sz w:val="24"/>
          <w:szCs w:val="24"/>
          <w:highlight w:val="none"/>
          <w:u w:val="single"/>
        </w:rPr>
        <w:tab/>
      </w:r>
      <w:r>
        <w:rPr>
          <w:rFonts w:hint="eastAsia" w:ascii="宋体" w:hAnsi="宋体" w:eastAsia="宋体" w:cs="宋体"/>
          <w:color w:val="auto"/>
          <w:sz w:val="24"/>
          <w:szCs w:val="24"/>
          <w:highlight w:val="none"/>
          <w:u w:val="single"/>
        </w:rPr>
        <w:t xml:space="preserve">        </w:t>
      </w:r>
    </w:p>
    <w:p w14:paraId="41A5FA5B">
      <w:pPr>
        <w:pStyle w:val="19"/>
        <w:keepNext w:val="0"/>
        <w:keepLines w:val="0"/>
        <w:pageBreakBefore w:val="0"/>
        <w:widowControl w:val="0"/>
        <w:tabs>
          <w:tab w:val="left" w:pos="774"/>
          <w:tab w:val="left" w:pos="3578"/>
          <w:tab w:val="left" w:pos="3686"/>
          <w:tab w:val="left" w:pos="5063"/>
          <w:tab w:val="left" w:pos="5173"/>
          <w:tab w:val="left" w:pos="5504"/>
          <w:tab w:val="left" w:pos="5612"/>
          <w:tab w:val="left" w:pos="8198"/>
          <w:tab w:val="left" w:pos="8306"/>
          <w:tab w:val="left" w:pos="8417"/>
        </w:tabs>
        <w:kinsoku/>
        <w:wordWrap/>
        <w:overflowPunct/>
        <w:topLinePunct w:val="0"/>
        <w:autoSpaceDE w:val="0"/>
        <w:autoSpaceDN w:val="0"/>
        <w:bidi w:val="0"/>
        <w:adjustRightInd w:val="0"/>
        <w:snapToGrid/>
        <w:spacing w:line="460" w:lineRule="exact"/>
        <w:ind w:left="334" w:right="23" w:righ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话</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rPr>
        <w:tab/>
      </w:r>
      <w:r>
        <w:rPr>
          <w:rFonts w:hint="eastAsia" w:ascii="宋体" w:hAnsi="宋体" w:eastAsia="宋体" w:cs="宋体"/>
          <w:color w:val="auto"/>
          <w:spacing w:val="-1"/>
          <w:sz w:val="24"/>
          <w:szCs w:val="24"/>
          <w:highlight w:val="none"/>
        </w:rPr>
        <w:t>话</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传</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真</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z w:val="24"/>
          <w:szCs w:val="24"/>
          <w:highlight w:val="none"/>
        </w:rPr>
        <w:t>传</w:t>
      </w:r>
      <w:r>
        <w:rPr>
          <w:rFonts w:hint="eastAsia" w:ascii="宋体" w:hAnsi="宋体" w:eastAsia="宋体" w:cs="宋体"/>
          <w:color w:val="auto"/>
          <w:sz w:val="24"/>
          <w:szCs w:val="24"/>
          <w:highlight w:val="none"/>
        </w:rPr>
        <w:tab/>
      </w:r>
      <w:r>
        <w:rPr>
          <w:rFonts w:hint="eastAsia" w:ascii="宋体" w:hAnsi="宋体" w:eastAsia="宋体" w:cs="宋体"/>
          <w:color w:val="auto"/>
          <w:spacing w:val="-1"/>
          <w:sz w:val="24"/>
          <w:szCs w:val="24"/>
          <w:highlight w:val="none"/>
        </w:rPr>
        <w:t>真</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ab/>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19"/>
          <w:sz w:val="24"/>
          <w:szCs w:val="24"/>
          <w:highlight w:val="none"/>
        </w:rPr>
        <w:t xml:space="preserve"> </w:t>
      </w:r>
      <w:r>
        <w:rPr>
          <w:rFonts w:hint="eastAsia" w:ascii="宋体" w:hAnsi="宋体" w:eastAsia="宋体" w:cs="宋体"/>
          <w:color w:val="auto"/>
          <w:spacing w:val="-1"/>
          <w:sz w:val="24"/>
          <w:szCs w:val="24"/>
          <w:highlight w:val="none"/>
        </w:rPr>
        <w:t>开</w:t>
      </w:r>
      <w:r>
        <w:rPr>
          <w:rFonts w:hint="eastAsia" w:ascii="宋体" w:hAnsi="宋体" w:eastAsia="宋体" w:cs="宋体"/>
          <w:color w:val="auto"/>
          <w:spacing w:val="-3"/>
          <w:sz w:val="24"/>
          <w:szCs w:val="24"/>
          <w:highlight w:val="none"/>
        </w:rPr>
        <w:t>户</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z w:val="24"/>
          <w:szCs w:val="24"/>
          <w:highlight w:val="none"/>
        </w:rPr>
        <w:t>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开</w:t>
      </w:r>
      <w:r>
        <w:rPr>
          <w:rFonts w:hint="eastAsia" w:ascii="宋体" w:hAnsi="宋体" w:eastAsia="宋体" w:cs="宋体"/>
          <w:color w:val="auto"/>
          <w:spacing w:val="-3"/>
          <w:sz w:val="24"/>
          <w:szCs w:val="24"/>
          <w:highlight w:val="none"/>
        </w:rPr>
        <w:t>户</w:t>
      </w:r>
      <w:r>
        <w:rPr>
          <w:rFonts w:hint="eastAsia" w:ascii="宋体" w:hAnsi="宋体" w:eastAsia="宋体" w:cs="宋体"/>
          <w:color w:val="auto"/>
          <w:spacing w:val="-1"/>
          <w:sz w:val="24"/>
          <w:szCs w:val="24"/>
          <w:highlight w:val="none"/>
        </w:rPr>
        <w:t>银行：</w:t>
      </w:r>
      <w:r>
        <w:rPr>
          <w:rFonts w:hint="eastAsia" w:ascii="宋体" w:hAnsi="宋体" w:eastAsia="宋体" w:cs="宋体"/>
          <w:color w:val="auto"/>
          <w:spacing w:val="-1"/>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D1A335A">
      <w:pPr>
        <w:pStyle w:val="19"/>
        <w:keepNext w:val="0"/>
        <w:keepLines w:val="0"/>
        <w:pageBreakBefore w:val="0"/>
        <w:widowControl w:val="0"/>
        <w:tabs>
          <w:tab w:val="left" w:pos="774"/>
          <w:tab w:val="left" w:pos="3578"/>
          <w:tab w:val="left" w:pos="3686"/>
          <w:tab w:val="left" w:pos="5063"/>
          <w:tab w:val="left" w:pos="5173"/>
          <w:tab w:val="left" w:pos="5504"/>
          <w:tab w:val="left" w:pos="5612"/>
          <w:tab w:val="left" w:pos="8198"/>
          <w:tab w:val="left" w:pos="8306"/>
          <w:tab w:val="left" w:pos="8417"/>
        </w:tabs>
        <w:kinsoku/>
        <w:wordWrap/>
        <w:overflowPunct/>
        <w:topLinePunct w:val="0"/>
        <w:autoSpaceDE w:val="0"/>
        <w:autoSpaceDN w:val="0"/>
        <w:bidi w:val="0"/>
        <w:adjustRightInd w:val="0"/>
        <w:snapToGrid/>
        <w:spacing w:line="460" w:lineRule="exact"/>
        <w:ind w:left="334" w:right="992" w:rightChars="0"/>
        <w:jc w:val="left"/>
        <w:textAlignment w:val="auto"/>
        <w:rPr>
          <w:rFonts w:hint="eastAsia" w:ascii="宋体" w:hAnsi="宋体" w:eastAsia="宋体" w:cs="宋体"/>
          <w:color w:val="auto"/>
          <w:spacing w:val="18"/>
          <w:sz w:val="24"/>
          <w:szCs w:val="24"/>
          <w:highlight w:val="none"/>
          <w:u w:val="single"/>
        </w:rPr>
      </w:pPr>
      <w:r>
        <w:rPr>
          <w:rFonts w:hint="eastAsia" w:ascii="宋体" w:hAnsi="宋体" w:eastAsia="宋体" w:cs="宋体"/>
          <w:color w:val="auto"/>
          <w:sz w:val="24"/>
          <w:szCs w:val="24"/>
          <w:highlight w:val="none"/>
        </w:rPr>
        <w:t>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号</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rPr>
        <w:tab/>
      </w:r>
      <w:r>
        <w:rPr>
          <w:rFonts w:hint="eastAsia" w:ascii="宋体" w:hAnsi="宋体" w:eastAsia="宋体" w:cs="宋体"/>
          <w:color w:val="auto"/>
          <w:spacing w:val="-4"/>
          <w:sz w:val="24"/>
          <w:szCs w:val="24"/>
          <w:highlight w:val="none"/>
          <w:lang w:val="en-US" w:eastAsia="zh-CN"/>
        </w:rPr>
        <w:t xml:space="preserve"> </w:t>
      </w:r>
      <w:r>
        <w:rPr>
          <w:rFonts w:hint="eastAsia" w:ascii="宋体" w:hAnsi="宋体" w:eastAsia="宋体" w:cs="宋体"/>
          <w:color w:val="auto"/>
          <w:sz w:val="24"/>
          <w:szCs w:val="24"/>
          <w:highlight w:val="none"/>
        </w:rPr>
        <w:t>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号：</w:t>
      </w:r>
      <w:r>
        <w:rPr>
          <w:rFonts w:hint="eastAsia" w:ascii="宋体" w:hAnsi="宋体" w:eastAsia="宋体" w:cs="宋体"/>
          <w:color w:val="auto"/>
          <w:spacing w:val="-1"/>
          <w:sz w:val="24"/>
          <w:szCs w:val="24"/>
          <w:highlight w:val="none"/>
          <w:u w:val="single"/>
          <w:lang w:val="en-US" w:eastAsia="zh-CN"/>
        </w:rPr>
        <w:t xml:space="preserve">            </w:t>
      </w:r>
      <w:r>
        <w:rPr>
          <w:rFonts w:hint="eastAsia" w:ascii="宋体" w:hAnsi="宋体" w:eastAsia="宋体" w:cs="宋体"/>
          <w:color w:val="auto"/>
          <w:spacing w:val="-1"/>
          <w:sz w:val="24"/>
          <w:szCs w:val="24"/>
          <w:highlight w:val="none"/>
          <w:u w:val="single"/>
        </w:rPr>
        <w:t xml:space="preserve"> </w:t>
      </w:r>
      <w:r>
        <w:rPr>
          <w:rFonts w:hint="eastAsia" w:ascii="宋体" w:hAnsi="宋体" w:eastAsia="宋体" w:cs="宋体"/>
          <w:color w:val="auto"/>
          <w:spacing w:val="18"/>
          <w:sz w:val="24"/>
          <w:szCs w:val="24"/>
          <w:highlight w:val="none"/>
          <w:u w:val="single"/>
        </w:rPr>
        <w:t xml:space="preserve"> </w:t>
      </w:r>
    </w:p>
    <w:p w14:paraId="12D919DC">
      <w:pPr>
        <w:pStyle w:val="19"/>
        <w:keepNext w:val="0"/>
        <w:keepLines w:val="0"/>
        <w:pageBreakBefore w:val="0"/>
        <w:widowControl w:val="0"/>
        <w:tabs>
          <w:tab w:val="left" w:pos="774"/>
          <w:tab w:val="left" w:pos="3578"/>
          <w:tab w:val="left" w:pos="3686"/>
          <w:tab w:val="left" w:pos="5063"/>
          <w:tab w:val="left" w:pos="5173"/>
          <w:tab w:val="left" w:pos="5504"/>
          <w:tab w:val="left" w:pos="5612"/>
          <w:tab w:val="left" w:pos="8198"/>
          <w:tab w:val="left" w:pos="8306"/>
          <w:tab w:val="left" w:pos="8417"/>
        </w:tabs>
        <w:kinsoku/>
        <w:overflowPunct/>
        <w:topLinePunct w:val="0"/>
        <w:bidi w:val="0"/>
        <w:snapToGrid/>
        <w:spacing w:line="460" w:lineRule="exact"/>
        <w:ind w:left="332" w:right="1080" w:right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pacing w:val="-1"/>
          <w:sz w:val="24"/>
          <w:szCs w:val="24"/>
          <w:highlight w:val="none"/>
        </w:rPr>
        <w:t>邮</w:t>
      </w:r>
      <w:r>
        <w:rPr>
          <w:rFonts w:hint="eastAsia" w:ascii="宋体" w:hAnsi="宋体" w:eastAsia="宋体" w:cs="宋体"/>
          <w:color w:val="auto"/>
          <w:spacing w:val="-3"/>
          <w:sz w:val="24"/>
          <w:szCs w:val="24"/>
          <w:highlight w:val="none"/>
        </w:rPr>
        <w:t>政</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z w:val="24"/>
          <w:szCs w:val="24"/>
          <w:highlight w:val="none"/>
        </w:rPr>
        <w:t>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1"/>
          <w:sz w:val="24"/>
          <w:szCs w:val="24"/>
          <w:highlight w:val="none"/>
        </w:rPr>
        <w:t>邮</w:t>
      </w:r>
      <w:r>
        <w:rPr>
          <w:rFonts w:hint="eastAsia" w:ascii="宋体" w:hAnsi="宋体" w:eastAsia="宋体" w:cs="宋体"/>
          <w:color w:val="auto"/>
          <w:spacing w:val="-3"/>
          <w:sz w:val="24"/>
          <w:szCs w:val="24"/>
          <w:highlight w:val="none"/>
        </w:rPr>
        <w:t>政</w:t>
      </w:r>
      <w:r>
        <w:rPr>
          <w:rFonts w:hint="eastAsia" w:ascii="宋体" w:hAnsi="宋体" w:eastAsia="宋体" w:cs="宋体"/>
          <w:color w:val="auto"/>
          <w:spacing w:val="-1"/>
          <w:sz w:val="24"/>
          <w:szCs w:val="24"/>
          <w:highlight w:val="none"/>
        </w:rPr>
        <w:t>编码：</w:t>
      </w:r>
      <w:r>
        <w:rPr>
          <w:rFonts w:hint="eastAsia" w:ascii="宋体" w:hAnsi="宋体" w:eastAsia="宋体" w:cs="宋体"/>
          <w:color w:val="auto"/>
          <w:sz w:val="24"/>
          <w:szCs w:val="24"/>
          <w:highlight w:val="none"/>
          <w:u w:val="single"/>
          <w:lang w:val="en-US" w:eastAsia="zh-CN"/>
        </w:rPr>
        <w:t xml:space="preserve">              </w:t>
      </w:r>
    </w:p>
    <w:p w14:paraId="7DA95A86">
      <w:pPr>
        <w:pStyle w:val="19"/>
        <w:pageBreakBefore w:val="0"/>
        <w:tabs>
          <w:tab w:val="left" w:pos="774"/>
          <w:tab w:val="left" w:pos="3578"/>
          <w:tab w:val="left" w:pos="3686"/>
          <w:tab w:val="left" w:pos="5063"/>
          <w:tab w:val="left" w:pos="5173"/>
          <w:tab w:val="left" w:pos="5504"/>
          <w:tab w:val="left" w:pos="5612"/>
          <w:tab w:val="left" w:pos="8198"/>
          <w:tab w:val="left" w:pos="8306"/>
          <w:tab w:val="left" w:pos="8417"/>
        </w:tabs>
        <w:kinsoku/>
        <w:overflowPunct/>
        <w:topLinePunct w:val="0"/>
        <w:bidi w:val="0"/>
        <w:snapToGrid/>
        <w:spacing w:line="560" w:lineRule="exact"/>
        <w:ind w:left="332" w:right="1892" w:firstLine="2880" w:firstLineChars="1200"/>
        <w:rPr>
          <w:rFonts w:hint="eastAsia" w:ascii="宋体" w:hAnsi="宋体" w:eastAsia="宋体" w:cs="宋体"/>
          <w:color w:val="auto"/>
          <w:sz w:val="24"/>
          <w:szCs w:val="24"/>
          <w:highlight w:val="none"/>
          <w:u w:val="none"/>
          <w:lang w:val="en-US" w:eastAsia="zh-CN"/>
        </w:rPr>
        <w:sectPr>
          <w:footerReference r:id="rId10" w:type="default"/>
          <w:pgSz w:w="11920" w:h="16840"/>
          <w:pgMar w:top="1340" w:right="800" w:bottom="1040" w:left="800" w:header="0" w:footer="857" w:gutter="0"/>
          <w:pgNumType w:fmt="decimal"/>
          <w:cols w:space="720" w:num="1"/>
        </w:sectPr>
      </w:pPr>
      <w:r>
        <w:rPr>
          <w:rFonts w:hint="eastAsia" w:ascii="宋体" w:hAnsi="宋体" w:eastAsia="宋体" w:cs="宋体"/>
          <w:color w:val="auto"/>
          <w:sz w:val="24"/>
          <w:szCs w:val="24"/>
          <w:highlight w:val="none"/>
          <w:u w:val="none"/>
          <w:lang w:val="en-US" w:eastAsia="zh-CN"/>
        </w:rPr>
        <w:t xml:space="preserve">日期：       年     月     日             </w:t>
      </w:r>
    </w:p>
    <w:p w14:paraId="39FAF722">
      <w:pPr>
        <w:pageBreakBefore w:val="0"/>
        <w:kinsoku/>
        <w:overflowPunct/>
        <w:topLinePunct w:val="0"/>
        <w:bidi w:val="0"/>
        <w:snapToGrid/>
        <w:spacing w:line="560" w:lineRule="exact"/>
        <w:jc w:val="center"/>
        <w:rPr>
          <w:rFonts w:hint="eastAsia" w:ascii="宋体" w:hAnsi="宋体" w:eastAsia="宋体" w:cs="宋体"/>
          <w:b/>
          <w:bCs w:val="0"/>
          <w:color w:val="auto"/>
          <w:sz w:val="28"/>
          <w:szCs w:val="28"/>
          <w:highlight w:val="none"/>
        </w:rPr>
      </w:pPr>
      <w:bookmarkStart w:id="184" w:name="_bookmark3"/>
      <w:bookmarkEnd w:id="184"/>
      <w:bookmarkStart w:id="185" w:name="第四章 采购合同（合同主要条款及格式）"/>
      <w:bookmarkEnd w:id="185"/>
      <w:r>
        <w:rPr>
          <w:rFonts w:hint="eastAsia" w:ascii="宋体" w:hAnsi="宋体" w:eastAsia="宋体" w:cs="宋体"/>
          <w:b/>
          <w:bCs w:val="0"/>
          <w:color w:val="auto"/>
          <w:sz w:val="28"/>
          <w:szCs w:val="28"/>
          <w:highlight w:val="none"/>
        </w:rPr>
        <w:t>安全生产合同</w:t>
      </w:r>
    </w:p>
    <w:p w14:paraId="04695251">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u w:val="single"/>
        </w:rPr>
      </w:pPr>
      <w:r>
        <w:rPr>
          <w:rFonts w:hint="eastAsia" w:ascii="宋体" w:hAnsi="宋体" w:eastAsia="宋体" w:cs="宋体"/>
          <w:bCs/>
          <w:color w:val="auto"/>
          <w:sz w:val="28"/>
          <w:szCs w:val="28"/>
          <w:highlight w:val="none"/>
        </w:rPr>
        <w:t>为在</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rPr>
        <w:t>施工合同的实施过程中创造安全、高效的施工环境，切实</w:t>
      </w:r>
      <w:r>
        <w:rPr>
          <w:rFonts w:hint="eastAsia" w:ascii="宋体" w:hAnsi="宋体" w:eastAsia="宋体" w:cs="宋体"/>
          <w:bCs/>
          <w:color w:val="auto"/>
          <w:sz w:val="28"/>
          <w:szCs w:val="28"/>
          <w:highlight w:val="none"/>
          <w:lang w:val="en-US" w:eastAsia="zh-CN"/>
        </w:rPr>
        <w:t>做</w:t>
      </w:r>
      <w:r>
        <w:rPr>
          <w:rFonts w:hint="eastAsia" w:ascii="宋体" w:hAnsi="宋体" w:eastAsia="宋体" w:cs="宋体"/>
          <w:bCs/>
          <w:color w:val="auto"/>
          <w:sz w:val="28"/>
          <w:szCs w:val="28"/>
          <w:highlight w:val="none"/>
        </w:rPr>
        <w:t>好本项目的安全管理工作，本项目发包人</w:t>
      </w:r>
      <w:r>
        <w:rPr>
          <w:rFonts w:hint="eastAsia" w:ascii="宋体" w:hAnsi="宋体" w:eastAsia="宋体" w:cs="宋体"/>
          <w:bCs/>
          <w:color w:val="auto"/>
          <w:sz w:val="28"/>
          <w:szCs w:val="28"/>
          <w:highlight w:val="none"/>
          <w:u w:val="single"/>
        </w:rPr>
        <w:t>崇左市江州区交通运输局</w:t>
      </w:r>
      <w:r>
        <w:rPr>
          <w:rFonts w:hint="eastAsia" w:ascii="宋体" w:hAnsi="宋体" w:eastAsia="宋体" w:cs="宋体"/>
          <w:bCs/>
          <w:color w:val="auto"/>
          <w:sz w:val="28"/>
          <w:szCs w:val="28"/>
          <w:highlight w:val="none"/>
        </w:rPr>
        <w:t>（以下简称“甲方”）与承包人</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rPr>
        <w:t>（以下简称“乙方”）特此签订安全生产合同：</w:t>
      </w:r>
    </w:p>
    <w:p w14:paraId="4EBF2E46">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1、甲方职责</w:t>
      </w:r>
    </w:p>
    <w:p w14:paraId="2FCC9C22">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1.1 严格遵守国家有关安全生产的法律法规，认真执行工程承包合同中的有关安全要求。</w:t>
      </w:r>
    </w:p>
    <w:p w14:paraId="05E3557F">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1.2 按照“安全第一、预防为主”和坚持“管生产必须管安全”的原则进行安全生产管理，做到生产与安全工作同时计划、布置、检查、总结和评比。</w:t>
      </w:r>
    </w:p>
    <w:p w14:paraId="0EE3B8BA">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1.3 重要的安全设施必须坚持与主体工程“三同时”的原则，即：同时设计、审批，同时施工，同时验收，投入使用。</w:t>
      </w:r>
    </w:p>
    <w:p w14:paraId="1940438C">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1.4 定期召开安全生产调度会，及时传达中央及地方有关安全生产的精神。</w:t>
      </w:r>
    </w:p>
    <w:p w14:paraId="056207D6">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1.5 组织对乙方施工现场安全生产检查，监督乙方及时处理发现的各种安全隐患。</w:t>
      </w:r>
    </w:p>
    <w:p w14:paraId="47E1D68D">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2、乙方职责</w:t>
      </w:r>
    </w:p>
    <w:p w14:paraId="72B7BC2B">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2.1 严格遵守国家有关安全生产的法律法规、交通部颁发的《公路工程施工安全技术规程》（JTJ076—95）和《公路筑养路机械操作规程》有关安全生产的规定，认真执行工程承包合同中的有关安全要求。</w:t>
      </w:r>
    </w:p>
    <w:p w14:paraId="7587069A">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2.2 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C394C5C">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2.3 建立健全安全生产责任制。从派往项目实施的项目经理到生产工人（包括临时雇请的民工）的安全生产管理系统必须做到纵向到底，一环不漏；各职能部门、人员的安全生产责任制做到横向到边，人人有责。项目经理是安全生产第一责任人。现场设置的安全机构，应按施工人员的1%～3%配备安全员，专职负责所有员工的安全和保卫工作及预防事故的发生。安全机构人员，有权按有关规定发布指令，并采取保护性措施防止事故发生。</w:t>
      </w:r>
    </w:p>
    <w:p w14:paraId="04522166">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2.4 乙方在任何时候都应采取各种合理的预防措施，防止其员工发生任何违法、违禁、暴力或妨碍治安的行为。</w:t>
      </w:r>
    </w:p>
    <w:p w14:paraId="0818F075">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2.5 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72B69A81">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2.6 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BF4D63C">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2.7 操作人员上岗，必须按规定穿戴防护用品。施工负责人和安全检查员应随时检查劳动防护用品的穿戴情况，不按规定穿戴防护用品的人员不得上岗。</w:t>
      </w:r>
    </w:p>
    <w:p w14:paraId="67B24633">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 所有施工机具设备和高空作业的设备均应定期检查，并有安全员的签字记录，保证其经常处于完好状态；不合格的机具、设备和劳动保护用品严禁使用。</w:t>
      </w:r>
    </w:p>
    <w:p w14:paraId="5BF8B9EB">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2.9 施工中采用新技术、新工艺、新设备、新材料时，必须制定相应的安全技术措施，施工现场必须具有相关的安全标志牌。</w:t>
      </w:r>
    </w:p>
    <w:p w14:paraId="17AF2F5F">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2.10 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31EB7959">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3、违约责任</w:t>
      </w:r>
    </w:p>
    <w:p w14:paraId="5C560615">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如因甲方或乙方违约造成安全事故，将依法追究责任。</w:t>
      </w:r>
    </w:p>
    <w:p w14:paraId="12CA2B69">
      <w:pPr>
        <w:pageBreakBefore w:val="0"/>
        <w:numPr>
          <w:ilvl w:val="0"/>
          <w:numId w:val="28"/>
        </w:numPr>
        <w:kinsoku/>
        <w:overflowPunct/>
        <w:topLinePunct w:val="0"/>
        <w:bidi w:val="0"/>
        <w:snapToGrid/>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rPr>
        <w:t>本合同一式陆份，合同甲执肆份、乙方执贰份。由双方法定代表人或其授权代理人签署并加盖公章后生效，全部工程竣工验收后失效。</w:t>
      </w:r>
    </w:p>
    <w:p w14:paraId="33C39D6A">
      <w:pPr>
        <w:pStyle w:val="63"/>
        <w:pageBreakBefore w:val="0"/>
        <w:widowControl w:val="0"/>
        <w:numPr>
          <w:ilvl w:val="0"/>
          <w:numId w:val="0"/>
        </w:numPr>
        <w:kinsoku/>
        <w:overflowPunct/>
        <w:topLinePunct w:val="0"/>
        <w:autoSpaceDE w:val="0"/>
        <w:autoSpaceDN w:val="0"/>
        <w:bidi w:val="0"/>
        <w:snapToGrid/>
        <w:spacing w:before="60" w:after="60" w:line="560" w:lineRule="exact"/>
        <w:ind w:right="0" w:rightChars="0"/>
        <w:jc w:val="left"/>
        <w:rPr>
          <w:rFonts w:hint="eastAsia" w:ascii="宋体" w:hAnsi="宋体" w:eastAsia="宋体" w:cs="宋体"/>
          <w:color w:val="auto"/>
          <w:sz w:val="28"/>
          <w:szCs w:val="28"/>
          <w:highlight w:val="none"/>
        </w:rPr>
      </w:pPr>
    </w:p>
    <w:p w14:paraId="6B92DAB3">
      <w:pPr>
        <w:pageBreakBefore w:val="0"/>
        <w:kinsoku/>
        <w:overflowPunct/>
        <w:topLinePunct w:val="0"/>
        <w:bidi w:val="0"/>
        <w:snapToGrid/>
        <w:spacing w:line="560" w:lineRule="exact"/>
        <w:ind w:left="6240" w:hanging="5460" w:hangingChars="1950"/>
        <w:rPr>
          <w:rFonts w:hint="eastAsia" w:ascii="宋体" w:hAnsi="宋体" w:eastAsia="宋体" w:cs="宋体"/>
          <w:bCs/>
          <w:color w:val="auto"/>
          <w:sz w:val="28"/>
          <w:szCs w:val="28"/>
          <w:highlight w:val="none"/>
          <w:lang w:val="en-US"/>
        </w:rPr>
      </w:pPr>
      <w:r>
        <w:rPr>
          <w:rFonts w:hint="eastAsia" w:ascii="宋体" w:hAnsi="宋体" w:eastAsia="宋体" w:cs="宋体"/>
          <w:bCs/>
          <w:color w:val="auto"/>
          <w:sz w:val="28"/>
          <w:szCs w:val="28"/>
          <w:highlight w:val="none"/>
        </w:rPr>
        <w:t>发包人：</w:t>
      </w:r>
      <w:r>
        <w:rPr>
          <w:rFonts w:hint="eastAsia" w:ascii="宋体" w:hAnsi="宋体" w:eastAsia="宋体" w:cs="宋体"/>
          <w:bCs/>
          <w:color w:val="auto"/>
          <w:sz w:val="28"/>
          <w:szCs w:val="28"/>
          <w:highlight w:val="none"/>
          <w:u w:val="single"/>
        </w:rPr>
        <w:t>崇左市江州区交通运输局</w:t>
      </w:r>
      <w:r>
        <w:rPr>
          <w:rFonts w:hint="eastAsia" w:ascii="宋体" w:hAnsi="宋体" w:eastAsia="宋体" w:cs="宋体"/>
          <w:bCs/>
          <w:color w:val="auto"/>
          <w:sz w:val="28"/>
          <w:szCs w:val="28"/>
          <w:highlight w:val="none"/>
        </w:rPr>
        <w:t xml:space="preserve">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承包人：</w:t>
      </w:r>
      <w:r>
        <w:rPr>
          <w:rFonts w:hint="eastAsia" w:ascii="宋体" w:hAnsi="宋体" w:eastAsia="宋体" w:cs="宋体"/>
          <w:bCs/>
          <w:color w:val="auto"/>
          <w:sz w:val="28"/>
          <w:szCs w:val="28"/>
          <w:highlight w:val="none"/>
          <w:u w:val="single"/>
          <w:lang w:eastAsia="zh-CN"/>
        </w:rPr>
        <w:t xml:space="preserve"> </w:t>
      </w:r>
      <w:r>
        <w:rPr>
          <w:rFonts w:hint="eastAsia" w:ascii="宋体" w:hAnsi="宋体" w:eastAsia="宋体" w:cs="宋体"/>
          <w:bCs/>
          <w:color w:val="auto"/>
          <w:sz w:val="28"/>
          <w:szCs w:val="28"/>
          <w:highlight w:val="none"/>
          <w:u w:val="single"/>
          <w:lang w:val="en-US" w:eastAsia="zh-CN"/>
        </w:rPr>
        <w:t xml:space="preserve">                </w:t>
      </w:r>
    </w:p>
    <w:p w14:paraId="6B810146">
      <w:pPr>
        <w:pageBreakBefore w:val="0"/>
        <w:kinsoku/>
        <w:overflowPunct/>
        <w:topLinePunct w:val="0"/>
        <w:bidi w:val="0"/>
        <w:snapToGrid/>
        <w:spacing w:line="560" w:lineRule="exact"/>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 xml:space="preserve">法定代表人：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 xml:space="preserve"> 法定代表人：</w:t>
      </w:r>
    </w:p>
    <w:p w14:paraId="0EFBC4DF">
      <w:pPr>
        <w:pageBreakBefore w:val="0"/>
        <w:kinsoku/>
        <w:overflowPunct/>
        <w:topLinePunct w:val="0"/>
        <w:bidi w:val="0"/>
        <w:snapToGrid/>
        <w:spacing w:line="560" w:lineRule="exact"/>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或其授权代理人：</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Cs/>
          <w:color w:val="auto"/>
          <w:sz w:val="28"/>
          <w:szCs w:val="28"/>
          <w:highlight w:val="none"/>
        </w:rPr>
        <w:t xml:space="preserve">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或其授权代理人：</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Cs/>
          <w:color w:val="auto"/>
          <w:sz w:val="28"/>
          <w:szCs w:val="28"/>
          <w:highlight w:val="none"/>
        </w:rPr>
        <w:t xml:space="preserve"> </w:t>
      </w:r>
    </w:p>
    <w:p w14:paraId="0545AFEF">
      <w:pPr>
        <w:pageBreakBefore w:val="0"/>
        <w:kinsoku/>
        <w:overflowPunct/>
        <w:topLinePunct w:val="0"/>
        <w:bidi w:val="0"/>
        <w:snapToGrid/>
        <w:spacing w:line="560" w:lineRule="exact"/>
        <w:rPr>
          <w:rFonts w:hint="eastAsia" w:ascii="宋体" w:hAnsi="宋体" w:eastAsia="宋体" w:cs="宋体"/>
          <w:bCs/>
          <w:color w:val="auto"/>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Cs/>
          <w:color w:val="auto"/>
          <w:sz w:val="28"/>
          <w:szCs w:val="28"/>
          <w:highlight w:val="none"/>
        </w:rPr>
        <w:t xml:space="preserve">日期：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 xml:space="preserve"> 年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 xml:space="preserve"> 月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 xml:space="preserve"> 日</w:t>
      </w:r>
    </w:p>
    <w:p w14:paraId="50E27260">
      <w:pPr>
        <w:pageBreakBefore w:val="0"/>
        <w:kinsoku/>
        <w:overflowPunct/>
        <w:topLinePunct w:val="0"/>
        <w:bidi w:val="0"/>
        <w:snapToGrid/>
        <w:spacing w:line="560" w:lineRule="exact"/>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rPr>
        <w:t>廉 政 合 同</w:t>
      </w:r>
    </w:p>
    <w:p w14:paraId="0DAFD89C">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u w:val="single"/>
        </w:rPr>
      </w:pPr>
      <w:r>
        <w:rPr>
          <w:rFonts w:hint="eastAsia" w:ascii="宋体" w:hAnsi="宋体" w:eastAsia="宋体" w:cs="宋体"/>
          <w:bCs/>
          <w:color w:val="auto"/>
          <w:sz w:val="28"/>
          <w:szCs w:val="28"/>
          <w:highlight w:val="none"/>
        </w:rPr>
        <w:t>根据交通部《关于在交通基础设施建设中加强廉政建设的若干意见》以及有关工程建设、廉政建设的规定，为做好</w:t>
      </w:r>
      <w:r>
        <w:rPr>
          <w:rFonts w:hint="eastAsia" w:ascii="宋体" w:hAnsi="宋体" w:eastAsia="宋体" w:cs="宋体"/>
          <w:bCs/>
          <w:color w:val="auto"/>
          <w:sz w:val="28"/>
          <w:szCs w:val="28"/>
          <w:highlight w:val="none"/>
          <w:u w:val="single"/>
          <w:lang w:val="en-US" w:eastAsia="zh-CN"/>
        </w:rPr>
        <w:t xml:space="preserve">       （项目名称）           </w:t>
      </w:r>
      <w:r>
        <w:rPr>
          <w:rFonts w:hint="eastAsia" w:ascii="宋体" w:hAnsi="宋体" w:eastAsia="宋体" w:cs="宋体"/>
          <w:bCs/>
          <w:color w:val="auto"/>
          <w:sz w:val="28"/>
          <w:szCs w:val="28"/>
          <w:highlight w:val="none"/>
        </w:rPr>
        <w:t>建设中的党风廉政建设，保证工程建设高效优质，保证建设资金的安全和有效使用以及投资效益，本项目发包人</w:t>
      </w:r>
      <w:r>
        <w:rPr>
          <w:rFonts w:hint="eastAsia" w:ascii="宋体" w:hAnsi="宋体" w:eastAsia="宋体" w:cs="宋体"/>
          <w:bCs/>
          <w:color w:val="auto"/>
          <w:sz w:val="28"/>
          <w:szCs w:val="28"/>
          <w:highlight w:val="none"/>
          <w:u w:val="single"/>
        </w:rPr>
        <w:t>崇左市江州区交通运输局</w:t>
      </w:r>
      <w:r>
        <w:rPr>
          <w:rFonts w:hint="eastAsia" w:ascii="宋体" w:hAnsi="宋体" w:eastAsia="宋体" w:cs="宋体"/>
          <w:bCs/>
          <w:color w:val="auto"/>
          <w:sz w:val="28"/>
          <w:szCs w:val="28"/>
          <w:highlight w:val="none"/>
        </w:rPr>
        <w:t>（以下简称“甲方”）与承包人</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rPr>
        <w:t>（以下简称“乙方”），特订立如下合同。</w:t>
      </w:r>
    </w:p>
    <w:p w14:paraId="6734DE22">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1、甲乙双方的权利和义务</w:t>
      </w:r>
    </w:p>
    <w:p w14:paraId="5263BB48">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1.1 严格遵守党的政策规定和国家有关法律法规及交通部的有关规定。</w:t>
      </w:r>
    </w:p>
    <w:p w14:paraId="629FF5FE">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u w:val="single"/>
        </w:rPr>
      </w:pPr>
      <w:r>
        <w:rPr>
          <w:rFonts w:hint="eastAsia" w:ascii="宋体" w:hAnsi="宋体" w:eastAsia="宋体" w:cs="宋体"/>
          <w:bCs/>
          <w:color w:val="auto"/>
          <w:sz w:val="28"/>
          <w:szCs w:val="28"/>
          <w:highlight w:val="none"/>
        </w:rPr>
        <w:t>1.2 严格执行</w:t>
      </w:r>
      <w:r>
        <w:rPr>
          <w:rFonts w:hint="eastAsia" w:ascii="宋体" w:hAnsi="宋体" w:eastAsia="宋体" w:cs="宋体"/>
          <w:bCs/>
          <w:color w:val="auto"/>
          <w:sz w:val="28"/>
          <w:szCs w:val="28"/>
          <w:highlight w:val="none"/>
          <w:u w:val="single"/>
          <w:lang w:val="en-US" w:eastAsia="zh-CN"/>
        </w:rPr>
        <w:t xml:space="preserve">         （项目名称）           </w:t>
      </w:r>
      <w:r>
        <w:rPr>
          <w:rFonts w:hint="eastAsia" w:ascii="宋体" w:hAnsi="宋体" w:eastAsia="宋体" w:cs="宋体"/>
          <w:bCs/>
          <w:color w:val="auto"/>
          <w:sz w:val="28"/>
          <w:szCs w:val="28"/>
          <w:highlight w:val="none"/>
        </w:rPr>
        <w:t>施工的合同文件，自觉按合同办事。</w:t>
      </w:r>
    </w:p>
    <w:p w14:paraId="3E209396">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1.3 双方的业务活动坚持公开、公正、诚信、透明的原则（法律认定的商业秘密和合同文件另有规定除外），不得损害国家和集体利益，违反工程建设管理规章制度。</w:t>
      </w:r>
    </w:p>
    <w:p w14:paraId="5ABF3962">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1.4 建立健全廉政制度，开展廉政教育，设立廉政告示牌；公布举报电话，监督并认真查处违法违纪行为。</w:t>
      </w:r>
    </w:p>
    <w:p w14:paraId="1D31D50D">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1.5 发现对方在业务活动中有违反廉政规定的行为，有及时提醒对方纠正的权利和义务。</w:t>
      </w:r>
    </w:p>
    <w:p w14:paraId="750A007C">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1.6 发现对方严重违反本合同义务条款的行为，有向其上级有关部门举报、建议给予处理并要求告知处理结果的权利。</w:t>
      </w:r>
    </w:p>
    <w:p w14:paraId="32C38C2B">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2、甲方的义务</w:t>
      </w:r>
    </w:p>
    <w:p w14:paraId="463E41D8">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2.1 甲方及其工作人员不得索要或接受乙方的礼金、有价证券和贵重物品，不得在乙方报销任何应由甲方或甲方工作人员个人支付的费用等。</w:t>
      </w:r>
    </w:p>
    <w:p w14:paraId="783382C1">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2.2 甲方工作人员不得参加乙方安排的超标准宴请和娱乐活动；不得接受乙方提供的通讯工具、交通工具和高档办公用品等。</w:t>
      </w:r>
    </w:p>
    <w:p w14:paraId="79C1FA5A">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2.3 甲方及其工作人员不得要求或者接受乙方为其住房装修、婚丧嫁娶活动、配偶子女的工作安排以及出国出境、旅游等提供方便等。</w:t>
      </w:r>
    </w:p>
    <w:p w14:paraId="15E96A69">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2.4 甲方工作人员及其配偶、子女不得从事与甲方工程有关的材料设备供应、工程分包、劳务等经济活动等。</w:t>
      </w:r>
    </w:p>
    <w:p w14:paraId="697A06B2">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2.5 甲方及其工作人员不得以任何理由向乙方推荐分包单位或推销材料，不得要求乙方购买合同规定外的材料和设备。</w:t>
      </w:r>
    </w:p>
    <w:p w14:paraId="13FEF944">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2.6 甲方工作人员要秉公办事，不准营私舞弊，不准利用职权从事各种个人有偿活动和安排个人施工队伍。</w:t>
      </w:r>
    </w:p>
    <w:p w14:paraId="16D06555">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3、乙方义务</w:t>
      </w:r>
    </w:p>
    <w:p w14:paraId="79820B80">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3.1 乙方不得以任何理由向甲方及其工作人员行贿或馈赠礼金、有价证券、贵重礼品。</w:t>
      </w:r>
    </w:p>
    <w:p w14:paraId="62DBB190">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3.2 乙方不得以任何名义为甲方及其工作人员报销应由甲方单位或个人支付的任何费用。</w:t>
      </w:r>
    </w:p>
    <w:p w14:paraId="1F9D9707">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3.3 乙方不得以任何理由安排甲方工作人员参加超标准宴请及娱乐活动。</w:t>
      </w:r>
    </w:p>
    <w:p w14:paraId="66078445">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3.4 乙方不得为甲方单位或个人购置或提供通讯工具、交通工具和高档办公用品等。</w:t>
      </w:r>
    </w:p>
    <w:p w14:paraId="7C37CFC7">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4、违约责任</w:t>
      </w:r>
    </w:p>
    <w:p w14:paraId="6C88192A">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4.1 甲方及其工作人员违反本合同第一、二条，按管理权限，依据有关规定给予党纪、政纪或组织处理；涉嫌犯罪的，移交司法机关追究刑事责任；给乙方单位造成经济损失的，应予以赔偿。</w:t>
      </w:r>
    </w:p>
    <w:p w14:paraId="366638BE">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4.2 乙方及其工作人员违反本合同第一、三条，按管理权限，依据有关规定给予党纪、政纪或组织处理；给甲方单位造成经济损失的，应予以赔偿；情节严重的，甲方建议交通工程主管部门给予乙方一至三年内不得进入其主管的交通工程建设市场的处罚。</w:t>
      </w:r>
    </w:p>
    <w:p w14:paraId="057DF7DF">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5、本合同有效期为甲乙双方签署之日起至工程项目竣工验收后止。</w:t>
      </w:r>
    </w:p>
    <w:p w14:paraId="58824B2B">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u w:val="single"/>
        </w:rPr>
      </w:pPr>
      <w:r>
        <w:rPr>
          <w:rFonts w:hint="eastAsia" w:ascii="宋体" w:hAnsi="宋体" w:eastAsia="宋体" w:cs="宋体"/>
          <w:bCs/>
          <w:color w:val="auto"/>
          <w:sz w:val="28"/>
          <w:szCs w:val="28"/>
          <w:highlight w:val="none"/>
        </w:rPr>
        <w:t>6、本合同作为</w:t>
      </w:r>
      <w:r>
        <w:rPr>
          <w:rFonts w:hint="eastAsia" w:ascii="宋体" w:hAnsi="宋体" w:eastAsia="宋体" w:cs="宋体"/>
          <w:bCs/>
          <w:color w:val="auto"/>
          <w:sz w:val="28"/>
          <w:szCs w:val="28"/>
          <w:highlight w:val="none"/>
          <w:u w:val="single"/>
          <w:lang w:val="en-US" w:eastAsia="zh-CN"/>
        </w:rPr>
        <w:t xml:space="preserve">              项目名称                  </w:t>
      </w:r>
      <w:r>
        <w:rPr>
          <w:rFonts w:hint="eastAsia" w:ascii="宋体" w:hAnsi="宋体" w:eastAsia="宋体" w:cs="宋体"/>
          <w:bCs/>
          <w:color w:val="auto"/>
          <w:sz w:val="28"/>
          <w:szCs w:val="28"/>
          <w:highlight w:val="none"/>
        </w:rPr>
        <w:t>施工合同的附件，与施工合同具有同等法律效力，经双方签署立即生效。</w:t>
      </w:r>
    </w:p>
    <w:p w14:paraId="2EC66DB0">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7、本合同一式陆份，合同甲执肆份、乙方执贰份。</w:t>
      </w:r>
    </w:p>
    <w:p w14:paraId="776F379B">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p>
    <w:p w14:paraId="7347B227">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p>
    <w:p w14:paraId="412E7D1B">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p>
    <w:p w14:paraId="229B4A42">
      <w:pPr>
        <w:pageBreakBefore w:val="0"/>
        <w:kinsoku/>
        <w:overflowPunct/>
        <w:topLinePunct w:val="0"/>
        <w:bidi w:val="0"/>
        <w:snapToGrid/>
        <w:spacing w:line="560" w:lineRule="exact"/>
        <w:ind w:left="6240" w:hanging="5460" w:hangingChars="1950"/>
        <w:rPr>
          <w:rFonts w:hint="eastAsia" w:ascii="宋体" w:hAnsi="宋体" w:eastAsia="宋体" w:cs="宋体"/>
          <w:bCs/>
          <w:color w:val="auto"/>
          <w:sz w:val="28"/>
          <w:szCs w:val="28"/>
          <w:highlight w:val="none"/>
          <w:u w:val="single"/>
        </w:rPr>
      </w:pPr>
      <w:r>
        <w:rPr>
          <w:rFonts w:hint="eastAsia" w:ascii="宋体" w:hAnsi="宋体" w:eastAsia="宋体" w:cs="宋体"/>
          <w:bCs/>
          <w:color w:val="auto"/>
          <w:sz w:val="28"/>
          <w:szCs w:val="28"/>
          <w:highlight w:val="none"/>
        </w:rPr>
        <w:t>发包人：</w:t>
      </w:r>
      <w:r>
        <w:rPr>
          <w:rFonts w:hint="eastAsia" w:ascii="宋体" w:hAnsi="宋体" w:eastAsia="宋体" w:cs="宋体"/>
          <w:bCs/>
          <w:color w:val="auto"/>
          <w:sz w:val="28"/>
          <w:szCs w:val="28"/>
          <w:highlight w:val="none"/>
          <w:u w:val="single"/>
        </w:rPr>
        <w:t>崇左市江州区交通运输局</w:t>
      </w:r>
      <w:r>
        <w:rPr>
          <w:rFonts w:hint="eastAsia" w:ascii="宋体" w:hAnsi="宋体" w:eastAsia="宋体" w:cs="宋体"/>
          <w:bCs/>
          <w:color w:val="auto"/>
          <w:sz w:val="28"/>
          <w:szCs w:val="28"/>
          <w:highlight w:val="none"/>
        </w:rPr>
        <w:t xml:space="preserve">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承包人：</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u w:val="single"/>
        </w:rPr>
        <w:t xml:space="preserve">  </w:t>
      </w:r>
    </w:p>
    <w:p w14:paraId="0416556B">
      <w:pPr>
        <w:pageBreakBefore w:val="0"/>
        <w:kinsoku/>
        <w:overflowPunct/>
        <w:topLinePunct w:val="0"/>
        <w:bidi w:val="0"/>
        <w:snapToGrid/>
        <w:spacing w:line="560" w:lineRule="exact"/>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 xml:space="preserve">法定代表人：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 xml:space="preserve"> 法定代表人：</w:t>
      </w:r>
    </w:p>
    <w:p w14:paraId="2D33754B">
      <w:pPr>
        <w:pageBreakBefore w:val="0"/>
        <w:kinsoku/>
        <w:overflowPunct/>
        <w:topLinePunct w:val="0"/>
        <w:bidi w:val="0"/>
        <w:snapToGrid/>
        <w:spacing w:line="56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 xml:space="preserve">     或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 xml:space="preserve"> 或 </w:t>
      </w:r>
    </w:p>
    <w:p w14:paraId="4C03C359">
      <w:pPr>
        <w:pageBreakBefore w:val="0"/>
        <w:kinsoku/>
        <w:overflowPunct/>
        <w:topLinePunct w:val="0"/>
        <w:bidi w:val="0"/>
        <w:snapToGrid/>
        <w:spacing w:line="560" w:lineRule="exact"/>
        <w:rPr>
          <w:rFonts w:hint="eastAsia" w:ascii="宋体" w:hAnsi="宋体" w:eastAsia="宋体" w:cs="宋体"/>
          <w:bCs/>
          <w:color w:val="auto"/>
          <w:sz w:val="28"/>
          <w:szCs w:val="28"/>
          <w:highlight w:val="none"/>
          <w:u w:val="single"/>
        </w:rPr>
      </w:pPr>
      <w:r>
        <w:rPr>
          <w:rFonts w:hint="eastAsia" w:ascii="宋体" w:hAnsi="宋体" w:eastAsia="宋体" w:cs="宋体"/>
          <w:bCs/>
          <w:color w:val="auto"/>
          <w:sz w:val="28"/>
          <w:szCs w:val="28"/>
          <w:highlight w:val="none"/>
        </w:rPr>
        <w:t>其授权代理人：</w:t>
      </w:r>
      <w:r>
        <w:rPr>
          <w:rFonts w:hint="eastAsia" w:ascii="宋体" w:hAnsi="宋体" w:eastAsia="宋体" w:cs="宋体"/>
          <w:bCs/>
          <w:color w:val="auto"/>
          <w:sz w:val="28"/>
          <w:szCs w:val="28"/>
          <w:highlight w:val="none"/>
          <w:u w:val="single"/>
        </w:rPr>
        <w:t xml:space="preserve">        </w:t>
      </w:r>
      <w:r>
        <w:rPr>
          <w:rFonts w:hint="eastAsia" w:ascii="宋体" w:hAnsi="宋体" w:eastAsia="宋体" w:cs="宋体"/>
          <w:bCs/>
          <w:color w:val="auto"/>
          <w:sz w:val="28"/>
          <w:szCs w:val="28"/>
          <w:highlight w:val="none"/>
        </w:rPr>
        <w:t xml:space="preserve">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其授权代理人：</w:t>
      </w:r>
      <w:r>
        <w:rPr>
          <w:rFonts w:hint="eastAsia" w:ascii="宋体" w:hAnsi="宋体" w:eastAsia="宋体" w:cs="宋体"/>
          <w:bCs/>
          <w:color w:val="auto"/>
          <w:sz w:val="28"/>
          <w:szCs w:val="28"/>
          <w:highlight w:val="none"/>
          <w:u w:val="single"/>
        </w:rPr>
        <w:t xml:space="preserve">          </w:t>
      </w:r>
    </w:p>
    <w:p w14:paraId="057736E7">
      <w:pPr>
        <w:pageBreakBefore w:val="0"/>
        <w:kinsoku/>
        <w:overflowPunct/>
        <w:topLinePunct w:val="0"/>
        <w:bidi w:val="0"/>
        <w:snapToGrid/>
        <w:spacing w:line="560" w:lineRule="exact"/>
        <w:ind w:left="5599" w:leftChars="1" w:hanging="5597" w:hangingChars="1999"/>
        <w:jc w:val="center"/>
        <w:rPr>
          <w:rFonts w:hint="eastAsia" w:ascii="宋体" w:hAnsi="宋体" w:eastAsia="宋体" w:cs="宋体"/>
          <w:bCs/>
          <w:color w:val="auto"/>
          <w:sz w:val="28"/>
          <w:szCs w:val="28"/>
          <w:highlight w:val="none"/>
        </w:rPr>
      </w:pPr>
    </w:p>
    <w:p w14:paraId="2991CD72">
      <w:pPr>
        <w:pageBreakBefore w:val="0"/>
        <w:kinsoku/>
        <w:overflowPunct/>
        <w:topLinePunct w:val="0"/>
        <w:bidi w:val="0"/>
        <w:snapToGrid/>
        <w:spacing w:line="560" w:lineRule="exact"/>
        <w:ind w:left="5599" w:leftChars="1" w:hanging="5597" w:hangingChars="1999"/>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日期： </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 xml:space="preserve"> 年  </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 xml:space="preserve"> 月  </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 xml:space="preserve"> 日</w:t>
      </w:r>
    </w:p>
    <w:p w14:paraId="750AEB91">
      <w:pPr>
        <w:pStyle w:val="19"/>
        <w:rPr>
          <w:rFonts w:hint="eastAsia" w:ascii="宋体" w:hAnsi="宋体" w:eastAsia="宋体" w:cs="宋体"/>
          <w:bCs/>
          <w:color w:val="000000"/>
          <w:sz w:val="28"/>
          <w:szCs w:val="28"/>
          <w:highlight w:val="none"/>
        </w:rPr>
      </w:pPr>
    </w:p>
    <w:p w14:paraId="4E49051B">
      <w:pPr>
        <w:rPr>
          <w:rFonts w:hint="eastAsia" w:ascii="宋体" w:hAnsi="宋体" w:eastAsia="宋体" w:cs="宋体"/>
          <w:bCs/>
          <w:color w:val="000000"/>
          <w:sz w:val="28"/>
          <w:szCs w:val="28"/>
          <w:highlight w:val="none"/>
        </w:rPr>
      </w:pPr>
    </w:p>
    <w:p w14:paraId="2628FCC7">
      <w:pPr>
        <w:pStyle w:val="19"/>
        <w:rPr>
          <w:rFonts w:hint="eastAsia" w:ascii="宋体" w:hAnsi="宋体" w:eastAsia="宋体" w:cs="宋体"/>
          <w:bCs/>
          <w:color w:val="000000"/>
          <w:sz w:val="28"/>
          <w:szCs w:val="28"/>
          <w:highlight w:val="none"/>
        </w:rPr>
      </w:pPr>
    </w:p>
    <w:p w14:paraId="0583B8D8">
      <w:pPr>
        <w:rPr>
          <w:rFonts w:hint="eastAsia" w:ascii="宋体" w:hAnsi="宋体" w:eastAsia="宋体" w:cs="宋体"/>
          <w:bCs/>
          <w:color w:val="000000"/>
          <w:sz w:val="28"/>
          <w:szCs w:val="28"/>
          <w:highlight w:val="none"/>
        </w:rPr>
      </w:pPr>
    </w:p>
    <w:p w14:paraId="3FAE6A95">
      <w:pPr>
        <w:pStyle w:val="19"/>
        <w:rPr>
          <w:rFonts w:hint="eastAsia" w:ascii="宋体" w:hAnsi="宋体" w:eastAsia="宋体" w:cs="宋体"/>
          <w:bCs/>
          <w:color w:val="000000"/>
          <w:sz w:val="28"/>
          <w:szCs w:val="28"/>
          <w:highlight w:val="none"/>
        </w:rPr>
      </w:pPr>
    </w:p>
    <w:p w14:paraId="165FB296">
      <w:pPr>
        <w:pStyle w:val="19"/>
        <w:rPr>
          <w:rFonts w:hint="eastAsia" w:ascii="宋体" w:hAnsi="宋体" w:eastAsia="宋体" w:cs="宋体"/>
          <w:bCs/>
          <w:color w:val="000000"/>
          <w:sz w:val="28"/>
          <w:szCs w:val="28"/>
          <w:highlight w:val="none"/>
        </w:rPr>
      </w:pPr>
    </w:p>
    <w:p w14:paraId="78BF6358">
      <w:pPr>
        <w:rPr>
          <w:rFonts w:hint="eastAsia" w:ascii="宋体" w:hAnsi="宋体" w:eastAsia="宋体" w:cs="宋体"/>
        </w:rPr>
      </w:pPr>
    </w:p>
    <w:p w14:paraId="710FA415">
      <w:pPr>
        <w:rPr>
          <w:rFonts w:hint="eastAsia" w:ascii="宋体" w:hAnsi="宋体" w:eastAsia="宋体" w:cs="宋体"/>
        </w:rPr>
      </w:pPr>
    </w:p>
    <w:p w14:paraId="052B8C85">
      <w:pPr>
        <w:rPr>
          <w:rFonts w:hint="eastAsia" w:ascii="宋体" w:hAnsi="宋体" w:eastAsia="宋体" w:cs="宋体"/>
        </w:rPr>
      </w:pPr>
    </w:p>
    <w:p w14:paraId="657EC6CB">
      <w:pPr>
        <w:pageBreakBefore w:val="0"/>
        <w:kinsoku/>
        <w:overflowPunct/>
        <w:topLinePunct w:val="0"/>
        <w:bidi w:val="0"/>
        <w:snapToGrid/>
        <w:spacing w:line="500" w:lineRule="exact"/>
        <w:jc w:val="both"/>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附件4：公司资质</w:t>
      </w:r>
    </w:p>
    <w:p w14:paraId="61EA04ED">
      <w:pPr>
        <w:pageBreakBefore w:val="0"/>
        <w:kinsoku/>
        <w:overflowPunct/>
        <w:topLinePunct w:val="0"/>
        <w:bidi w:val="0"/>
        <w:snapToGrid/>
        <w:spacing w:line="500" w:lineRule="exact"/>
        <w:jc w:val="both"/>
        <w:rPr>
          <w:rFonts w:hint="eastAsia" w:ascii="宋体" w:hAnsi="宋体" w:eastAsia="宋体" w:cs="宋体"/>
          <w:bCs/>
          <w:color w:val="000000"/>
          <w:sz w:val="28"/>
          <w:szCs w:val="28"/>
          <w:highlight w:val="none"/>
          <w:lang w:val="en-US" w:eastAsia="zh-CN"/>
        </w:rPr>
      </w:pPr>
    </w:p>
    <w:p w14:paraId="41275743">
      <w:pPr>
        <w:pageBreakBefore w:val="0"/>
        <w:kinsoku/>
        <w:overflowPunct/>
        <w:topLinePunct w:val="0"/>
        <w:bidi w:val="0"/>
        <w:snapToGrid/>
        <w:spacing w:line="500" w:lineRule="exact"/>
        <w:jc w:val="both"/>
        <w:rPr>
          <w:rFonts w:hint="eastAsia" w:ascii="宋体" w:hAnsi="宋体" w:eastAsia="宋体" w:cs="宋体"/>
          <w:bCs/>
          <w:color w:val="000000"/>
          <w:sz w:val="28"/>
          <w:szCs w:val="28"/>
          <w:highlight w:val="none"/>
          <w:lang w:val="en-US" w:eastAsia="zh-CN"/>
        </w:rPr>
      </w:pPr>
    </w:p>
    <w:p w14:paraId="5F24ECE3">
      <w:pPr>
        <w:pageBreakBefore w:val="0"/>
        <w:kinsoku/>
        <w:overflowPunct/>
        <w:topLinePunct w:val="0"/>
        <w:bidi w:val="0"/>
        <w:snapToGrid/>
        <w:spacing w:line="500" w:lineRule="exact"/>
        <w:jc w:val="both"/>
        <w:rPr>
          <w:rFonts w:hint="eastAsia" w:ascii="宋体" w:hAnsi="宋体" w:eastAsia="宋体" w:cs="宋体"/>
          <w:bCs/>
          <w:color w:val="000000"/>
          <w:sz w:val="28"/>
          <w:szCs w:val="28"/>
          <w:highlight w:val="none"/>
          <w:lang w:val="en-US" w:eastAsia="zh-CN"/>
        </w:rPr>
      </w:pPr>
    </w:p>
    <w:p w14:paraId="6D7359F8">
      <w:pPr>
        <w:pageBreakBefore w:val="0"/>
        <w:kinsoku/>
        <w:overflowPunct/>
        <w:topLinePunct w:val="0"/>
        <w:bidi w:val="0"/>
        <w:snapToGrid/>
        <w:spacing w:line="500" w:lineRule="exact"/>
        <w:jc w:val="both"/>
        <w:rPr>
          <w:rFonts w:hint="eastAsia" w:ascii="宋体" w:hAnsi="宋体" w:eastAsia="宋体" w:cs="宋体"/>
          <w:bCs/>
          <w:color w:val="000000"/>
          <w:sz w:val="28"/>
          <w:szCs w:val="28"/>
          <w:highlight w:val="none"/>
          <w:lang w:val="en-US" w:eastAsia="zh-CN"/>
        </w:rPr>
      </w:pPr>
    </w:p>
    <w:p w14:paraId="0138E730">
      <w:pPr>
        <w:pageBreakBefore w:val="0"/>
        <w:kinsoku/>
        <w:overflowPunct/>
        <w:topLinePunct w:val="0"/>
        <w:bidi w:val="0"/>
        <w:snapToGrid/>
        <w:spacing w:line="500" w:lineRule="exact"/>
        <w:jc w:val="both"/>
        <w:rPr>
          <w:rFonts w:hint="eastAsia" w:ascii="宋体" w:hAnsi="宋体" w:eastAsia="宋体" w:cs="宋体"/>
          <w:bCs/>
          <w:color w:val="000000"/>
          <w:sz w:val="28"/>
          <w:szCs w:val="28"/>
          <w:highlight w:val="none"/>
          <w:lang w:val="en-US" w:eastAsia="zh-CN"/>
        </w:rPr>
      </w:pPr>
    </w:p>
    <w:p w14:paraId="0E11146B">
      <w:pPr>
        <w:pStyle w:val="19"/>
        <w:rPr>
          <w:rFonts w:hint="eastAsia" w:ascii="宋体" w:hAnsi="宋体" w:eastAsia="宋体" w:cs="宋体"/>
          <w:bCs/>
          <w:color w:val="000000"/>
          <w:sz w:val="28"/>
          <w:szCs w:val="28"/>
          <w:highlight w:val="none"/>
          <w:lang w:val="en-US" w:eastAsia="zh-CN"/>
        </w:rPr>
      </w:pPr>
    </w:p>
    <w:p w14:paraId="47982479">
      <w:pPr>
        <w:pageBreakBefore w:val="0"/>
        <w:kinsoku/>
        <w:overflowPunct/>
        <w:topLinePunct w:val="0"/>
        <w:bidi w:val="0"/>
        <w:snapToGrid/>
        <w:spacing w:line="500" w:lineRule="exact"/>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附件5：中标通知书</w:t>
      </w:r>
    </w:p>
    <w:p w14:paraId="7D9BF25C">
      <w:pPr>
        <w:rPr>
          <w:rFonts w:hint="eastAsia" w:ascii="宋体" w:hAnsi="宋体" w:eastAsia="宋体" w:cs="宋体"/>
          <w:lang w:eastAsia="zh-CN"/>
        </w:rPr>
      </w:pPr>
    </w:p>
    <w:p w14:paraId="1AF5FCE4">
      <w:pPr>
        <w:rPr>
          <w:rFonts w:hint="eastAsia" w:ascii="宋体" w:hAnsi="宋体" w:eastAsia="宋体" w:cs="宋体"/>
          <w:lang w:eastAsia="zh-CN"/>
        </w:rPr>
      </w:pPr>
    </w:p>
    <w:p w14:paraId="4C9CC42E">
      <w:pPr>
        <w:rPr>
          <w:rFonts w:hint="eastAsia" w:ascii="宋体" w:hAnsi="宋体" w:eastAsia="宋体" w:cs="宋体"/>
          <w:lang w:eastAsia="zh-CN"/>
        </w:rPr>
      </w:pPr>
    </w:p>
    <w:p w14:paraId="68C380CF">
      <w:pPr>
        <w:rPr>
          <w:rFonts w:hint="eastAsia" w:ascii="宋体" w:hAnsi="宋体" w:eastAsia="宋体" w:cs="宋体"/>
          <w:lang w:eastAsia="zh-CN"/>
        </w:rPr>
      </w:pPr>
    </w:p>
    <w:p w14:paraId="47B36C45">
      <w:pPr>
        <w:rPr>
          <w:rFonts w:hint="eastAsia" w:ascii="宋体" w:hAnsi="宋体" w:eastAsia="宋体" w:cs="宋体"/>
          <w:lang w:eastAsia="zh-CN"/>
        </w:rPr>
      </w:pPr>
    </w:p>
    <w:p w14:paraId="3A7906BE">
      <w:pPr>
        <w:rPr>
          <w:rFonts w:hint="eastAsia" w:ascii="宋体" w:hAnsi="宋体" w:eastAsia="宋体" w:cs="宋体"/>
          <w:lang w:eastAsia="zh-CN"/>
        </w:rPr>
      </w:pPr>
    </w:p>
    <w:p w14:paraId="330F2396">
      <w:pPr>
        <w:rPr>
          <w:rFonts w:hint="eastAsia" w:ascii="宋体" w:hAnsi="宋体" w:eastAsia="宋体" w:cs="宋体"/>
          <w:lang w:eastAsia="zh-CN"/>
        </w:rPr>
      </w:pPr>
    </w:p>
    <w:p w14:paraId="64ED363A">
      <w:pPr>
        <w:rPr>
          <w:rFonts w:hint="eastAsia" w:ascii="宋体" w:hAnsi="宋体" w:eastAsia="宋体" w:cs="宋体"/>
          <w:lang w:eastAsia="zh-CN"/>
        </w:rPr>
      </w:pPr>
    </w:p>
    <w:p w14:paraId="016C298C">
      <w:pPr>
        <w:rPr>
          <w:rFonts w:hint="eastAsia" w:ascii="宋体" w:hAnsi="宋体" w:eastAsia="宋体" w:cs="宋体"/>
          <w:lang w:eastAsia="zh-CN"/>
        </w:rPr>
      </w:pPr>
    </w:p>
    <w:p w14:paraId="4399F4D1">
      <w:pPr>
        <w:rPr>
          <w:rFonts w:hint="eastAsia" w:ascii="宋体" w:hAnsi="宋体" w:eastAsia="宋体" w:cs="宋体"/>
          <w:lang w:eastAsia="zh-CN"/>
        </w:rPr>
      </w:pPr>
    </w:p>
    <w:p w14:paraId="39877A1A">
      <w:pPr>
        <w:rPr>
          <w:rFonts w:hint="eastAsia" w:ascii="宋体" w:hAnsi="宋体" w:eastAsia="宋体" w:cs="宋体"/>
          <w:lang w:eastAsia="zh-CN"/>
        </w:rPr>
      </w:pPr>
    </w:p>
    <w:p w14:paraId="740E1752">
      <w:pPr>
        <w:rPr>
          <w:rFonts w:hint="eastAsia" w:ascii="宋体" w:hAnsi="宋体" w:eastAsia="宋体" w:cs="宋体"/>
          <w:lang w:eastAsia="zh-CN"/>
        </w:rPr>
      </w:pPr>
    </w:p>
    <w:p w14:paraId="6AB99668">
      <w:pPr>
        <w:rPr>
          <w:rFonts w:hint="eastAsia" w:ascii="宋体" w:hAnsi="宋体" w:eastAsia="宋体" w:cs="宋体"/>
          <w:lang w:eastAsia="zh-CN"/>
        </w:rPr>
      </w:pPr>
    </w:p>
    <w:p w14:paraId="36576060">
      <w:pPr>
        <w:rPr>
          <w:rFonts w:hint="eastAsia" w:ascii="宋体" w:hAnsi="宋体" w:eastAsia="宋体" w:cs="宋体"/>
          <w:lang w:eastAsia="zh-CN"/>
        </w:rPr>
      </w:pPr>
    </w:p>
    <w:p w14:paraId="6BC9693A">
      <w:pPr>
        <w:rPr>
          <w:rFonts w:hint="eastAsia" w:ascii="宋体" w:hAnsi="宋体" w:eastAsia="宋体" w:cs="宋体"/>
          <w:lang w:eastAsia="zh-CN"/>
        </w:rPr>
      </w:pPr>
    </w:p>
    <w:p w14:paraId="013FD460">
      <w:pPr>
        <w:rPr>
          <w:rFonts w:hint="eastAsia" w:ascii="宋体" w:hAnsi="宋体" w:eastAsia="宋体" w:cs="宋体"/>
          <w:lang w:eastAsia="zh-CN"/>
        </w:rPr>
      </w:pPr>
    </w:p>
    <w:p w14:paraId="5B7A3CC6">
      <w:pPr>
        <w:rPr>
          <w:rFonts w:hint="eastAsia" w:ascii="宋体" w:hAnsi="宋体" w:eastAsia="宋体" w:cs="宋体"/>
          <w:lang w:eastAsia="zh-CN"/>
        </w:rPr>
      </w:pPr>
    </w:p>
    <w:p w14:paraId="6ACD12FB">
      <w:pPr>
        <w:rPr>
          <w:rFonts w:hint="eastAsia" w:ascii="宋体" w:hAnsi="宋体" w:eastAsia="宋体" w:cs="宋体"/>
          <w:sz w:val="28"/>
          <w:szCs w:val="28"/>
          <w:lang w:val="en-US" w:eastAsia="zh-CN"/>
        </w:rPr>
      </w:pPr>
      <w:r>
        <w:rPr>
          <w:rFonts w:hint="eastAsia" w:ascii="宋体" w:hAnsi="宋体" w:eastAsia="宋体" w:cs="宋体"/>
          <w:sz w:val="28"/>
          <w:szCs w:val="28"/>
          <w:lang w:eastAsia="zh-CN"/>
        </w:rPr>
        <w:t>附件</w:t>
      </w:r>
      <w:r>
        <w:rPr>
          <w:rFonts w:hint="eastAsia" w:ascii="宋体" w:hAnsi="宋体" w:eastAsia="宋体" w:cs="宋体"/>
          <w:sz w:val="28"/>
          <w:szCs w:val="28"/>
          <w:lang w:val="en-US" w:eastAsia="zh-CN"/>
        </w:rPr>
        <w:t>6：工程量清单</w:t>
      </w:r>
    </w:p>
    <w:p w14:paraId="14AD22FC">
      <w:pPr>
        <w:rPr>
          <w:rFonts w:hint="eastAsia" w:ascii="宋体" w:hAnsi="宋体" w:eastAsia="宋体" w:cs="宋体"/>
          <w:sz w:val="28"/>
          <w:szCs w:val="28"/>
          <w:lang w:val="en-US" w:eastAsia="zh-CN"/>
        </w:rPr>
      </w:pPr>
    </w:p>
    <w:p w14:paraId="286B9BDF">
      <w:pPr>
        <w:rPr>
          <w:rFonts w:hint="eastAsia" w:ascii="宋体" w:hAnsi="宋体" w:eastAsia="宋体" w:cs="宋体"/>
          <w:sz w:val="28"/>
          <w:szCs w:val="28"/>
          <w:lang w:val="en-US" w:eastAsia="zh-CN"/>
        </w:rPr>
      </w:pPr>
    </w:p>
    <w:p w14:paraId="46E8CBDA">
      <w:pPr>
        <w:rPr>
          <w:rFonts w:hint="eastAsia" w:ascii="宋体" w:hAnsi="宋体" w:eastAsia="宋体" w:cs="宋体"/>
          <w:sz w:val="28"/>
          <w:szCs w:val="28"/>
          <w:lang w:val="en-US" w:eastAsia="zh-CN"/>
        </w:rPr>
      </w:pPr>
    </w:p>
    <w:p w14:paraId="5B7B19E7">
      <w:pPr>
        <w:rPr>
          <w:rFonts w:hint="eastAsia" w:ascii="宋体" w:hAnsi="宋体" w:eastAsia="宋体" w:cs="宋体"/>
          <w:sz w:val="28"/>
          <w:szCs w:val="28"/>
          <w:lang w:val="en-US" w:eastAsia="zh-CN"/>
        </w:rPr>
      </w:pPr>
    </w:p>
    <w:p w14:paraId="6BE3524E">
      <w:pPr>
        <w:rPr>
          <w:rFonts w:hint="eastAsia" w:ascii="宋体" w:hAnsi="宋体" w:eastAsia="宋体" w:cs="宋体"/>
          <w:sz w:val="28"/>
          <w:szCs w:val="28"/>
          <w:lang w:val="en-US" w:eastAsia="zh-CN"/>
        </w:rPr>
      </w:pPr>
    </w:p>
    <w:p w14:paraId="0E5662A3"/>
    <w:sectPr>
      <w:footerReference r:id="rId12" w:type="first"/>
      <w:footerReference r:id="rId11" w:type="default"/>
      <w:pgSz w:w="11906" w:h="16838"/>
      <w:pgMar w:top="1440" w:right="1440" w:bottom="1440" w:left="158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129F">
    <w:pPr>
      <w:pStyle w:val="31"/>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5ACC7A28">
                          <w:pPr>
                            <w:pStyle w:val="31"/>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5ACC7A28">
                    <w:pPr>
                      <w:pStyle w:val="3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F0A">
    <w:pPr>
      <w:pStyle w:val="31"/>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E8E8E8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7E8E8E8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211D">
    <w:pPr>
      <w:pStyle w:val="31"/>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9593">
    <w:pPr>
      <w:pStyle w:val="31"/>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C2EEC70"/>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C2EEC70"/>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C4298">
    <w:pPr>
      <w:pStyle w:val="3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9E91E2">
                          <w:pPr>
                            <w:pStyle w:val="3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69E91E2">
                    <w:pPr>
                      <w:pStyle w:val="3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4B1CD">
    <w:pPr>
      <w:pStyle w:val="19"/>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645D67">
                          <w:pPr>
                            <w:pStyle w:val="31"/>
                          </w:pPr>
                          <w:r>
                            <w:fldChar w:fldCharType="begin"/>
                          </w:r>
                          <w:r>
                            <w:instrText xml:space="preserve"> PAGE  \* MERGEFORMAT </w:instrText>
                          </w:r>
                          <w:r>
                            <w:fldChar w:fldCharType="separate"/>
                          </w:r>
                          <w:r>
                            <w:t>114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64645D67">
                    <w:pPr>
                      <w:pStyle w:val="31"/>
                    </w:pPr>
                    <w:r>
                      <w:fldChar w:fldCharType="begin"/>
                    </w:r>
                    <w:r>
                      <w:instrText xml:space="preserve"> PAGE  \* MERGEFORMAT </w:instrText>
                    </w:r>
                    <w:r>
                      <w:fldChar w:fldCharType="separate"/>
                    </w:r>
                    <w:r>
                      <w:t>114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D3B">
    <w:pPr>
      <w:pStyle w:val="31"/>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E6E911D">
                          <w:pPr>
                            <w:pStyle w:val="3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2E6E911D">
                    <w:pPr>
                      <w:pStyle w:val="31"/>
                    </w:pPr>
                    <w:r>
                      <w:fldChar w:fldCharType="begin"/>
                    </w:r>
                    <w:r>
                      <w:instrText xml:space="preserve"> PAGE  \* MERGEFORMAT </w:instrText>
                    </w:r>
                    <w:r>
                      <w:fldChar w:fldCharType="separate"/>
                    </w:r>
                    <w:r>
                      <w:t>2</w:t>
                    </w:r>
                    <w:r>
                      <w:fldChar w:fldCharType="end"/>
                    </w:r>
                  </w:p>
                </w:txbxContent>
              </v:textbox>
            </v:shape>
          </w:pict>
        </mc:Fallback>
      </mc:AlternateContent>
    </w:r>
  </w:p>
  <w:p w14:paraId="295EC187">
    <w:pPr>
      <w:pStyle w:val="3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FC5B">
    <w:pPr>
      <w:pStyle w:val="3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29645D">
                          <w:pPr>
                            <w:pStyle w:val="31"/>
                          </w:pPr>
                          <w:r>
                            <w:fldChar w:fldCharType="begin"/>
                          </w:r>
                          <w:r>
                            <w:instrText xml:space="preserve"> PAGE  \* MERGEFORMAT </w:instrText>
                          </w:r>
                          <w:r>
                            <w:fldChar w:fldCharType="separate"/>
                          </w:r>
                          <w:r>
                            <w:t>117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3729645D">
                    <w:pPr>
                      <w:pStyle w:val="31"/>
                    </w:pPr>
                    <w:r>
                      <w:fldChar w:fldCharType="begin"/>
                    </w:r>
                    <w:r>
                      <w:instrText xml:space="preserve"> PAGE  \* MERGEFORMAT </w:instrText>
                    </w:r>
                    <w:r>
                      <w:fldChar w:fldCharType="separate"/>
                    </w:r>
                    <w:r>
                      <w:t>117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8BD">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205E">
    <w:pPr>
      <w:pStyle w:val="3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EB125"/>
    <w:multiLevelType w:val="multilevel"/>
    <w:tmpl w:val="8CAEB125"/>
    <w:lvl w:ilvl="0" w:tentative="0">
      <w:start w:val="1"/>
      <w:numFmt w:val="decimal"/>
      <w:lvlText w:val="%1."/>
      <w:lvlJc w:val="left"/>
      <w:pPr>
        <w:ind w:left="666" w:hanging="334"/>
      </w:pPr>
      <w:rPr>
        <w:rFonts w:hint="default" w:ascii="仿宋_GB2312" w:hAnsi="仿宋_GB2312" w:eastAsia="仿宋_GB2312" w:cs="仿宋_GB2312"/>
        <w:b/>
        <w:bCs/>
        <w:spacing w:val="0"/>
        <w:w w:val="99"/>
        <w:sz w:val="22"/>
        <w:szCs w:val="22"/>
        <w:lang w:val="zh-CN" w:eastAsia="zh-CN" w:bidi="zh-CN"/>
      </w:rPr>
    </w:lvl>
    <w:lvl w:ilvl="1" w:tentative="0">
      <w:start w:val="1"/>
      <w:numFmt w:val="decimal"/>
      <w:lvlText w:val="%1.%2"/>
      <w:lvlJc w:val="left"/>
      <w:pPr>
        <w:ind w:left="776" w:hanging="444"/>
      </w:pPr>
      <w:rPr>
        <w:rFonts w:hint="default" w:ascii="仿宋_GB2312" w:hAnsi="仿宋_GB2312" w:eastAsia="仿宋_GB2312" w:cs="仿宋_GB2312"/>
        <w:b/>
        <w:bCs/>
        <w:spacing w:val="-1"/>
        <w:w w:val="99"/>
        <w:sz w:val="22"/>
        <w:szCs w:val="22"/>
        <w:lang w:val="zh-CN" w:eastAsia="zh-CN" w:bidi="zh-CN"/>
      </w:rPr>
    </w:lvl>
    <w:lvl w:ilvl="2" w:tentative="0">
      <w:start w:val="1"/>
      <w:numFmt w:val="decimal"/>
      <w:lvlText w:val="%1.%2.%3"/>
      <w:lvlJc w:val="left"/>
      <w:pPr>
        <w:ind w:left="992" w:hanging="660"/>
      </w:pPr>
      <w:rPr>
        <w:rFonts w:hint="default" w:ascii="宋体" w:hAnsi="宋体" w:eastAsia="宋体" w:cs="宋体"/>
        <w:spacing w:val="-1"/>
        <w:w w:val="100"/>
        <w:sz w:val="22"/>
        <w:szCs w:val="22"/>
        <w:lang w:val="zh-CN" w:eastAsia="zh-CN" w:bidi="zh-CN"/>
      </w:rPr>
    </w:lvl>
    <w:lvl w:ilvl="3" w:tentative="0">
      <w:start w:val="4"/>
      <w:numFmt w:val="decimal"/>
      <w:lvlText w:val="%1.%2.%3.%4"/>
      <w:lvlJc w:val="left"/>
      <w:pPr>
        <w:ind w:left="1213" w:hanging="881"/>
      </w:pPr>
      <w:rPr>
        <w:rFonts w:hint="default" w:ascii="宋体" w:hAnsi="宋体" w:eastAsia="宋体" w:cs="宋体"/>
        <w:spacing w:val="-3"/>
        <w:w w:val="100"/>
        <w:sz w:val="22"/>
        <w:szCs w:val="22"/>
        <w:lang w:val="zh-CN" w:eastAsia="zh-CN" w:bidi="zh-CN"/>
      </w:rPr>
    </w:lvl>
    <w:lvl w:ilvl="4" w:tentative="0">
      <w:start w:val="0"/>
      <w:numFmt w:val="bullet"/>
      <w:lvlText w:val="•"/>
      <w:lvlJc w:val="left"/>
      <w:pPr>
        <w:ind w:left="940" w:hanging="881"/>
      </w:pPr>
      <w:rPr>
        <w:rFonts w:hint="default"/>
        <w:lang w:val="zh-CN" w:eastAsia="zh-CN" w:bidi="zh-CN"/>
      </w:rPr>
    </w:lvl>
    <w:lvl w:ilvl="5" w:tentative="0">
      <w:start w:val="0"/>
      <w:numFmt w:val="bullet"/>
      <w:lvlText w:val="•"/>
      <w:lvlJc w:val="left"/>
      <w:pPr>
        <w:ind w:left="1000" w:hanging="881"/>
      </w:pPr>
      <w:rPr>
        <w:rFonts w:hint="default"/>
        <w:lang w:val="zh-CN" w:eastAsia="zh-CN" w:bidi="zh-CN"/>
      </w:rPr>
    </w:lvl>
    <w:lvl w:ilvl="6" w:tentative="0">
      <w:start w:val="0"/>
      <w:numFmt w:val="bullet"/>
      <w:lvlText w:val="•"/>
      <w:lvlJc w:val="left"/>
      <w:pPr>
        <w:ind w:left="1220" w:hanging="881"/>
      </w:pPr>
      <w:rPr>
        <w:rFonts w:hint="default"/>
        <w:lang w:val="zh-CN" w:eastAsia="zh-CN" w:bidi="zh-CN"/>
      </w:rPr>
    </w:lvl>
    <w:lvl w:ilvl="7" w:tentative="0">
      <w:start w:val="0"/>
      <w:numFmt w:val="bullet"/>
      <w:lvlText w:val="•"/>
      <w:lvlJc w:val="left"/>
      <w:pPr>
        <w:ind w:left="1320" w:hanging="881"/>
      </w:pPr>
      <w:rPr>
        <w:rFonts w:hint="default"/>
        <w:lang w:val="zh-CN" w:eastAsia="zh-CN" w:bidi="zh-CN"/>
      </w:rPr>
    </w:lvl>
    <w:lvl w:ilvl="8" w:tentative="0">
      <w:start w:val="0"/>
      <w:numFmt w:val="bullet"/>
      <w:lvlText w:val="•"/>
      <w:lvlJc w:val="left"/>
      <w:pPr>
        <w:ind w:left="4317" w:hanging="881"/>
      </w:pPr>
      <w:rPr>
        <w:rFonts w:hint="default"/>
        <w:lang w:val="zh-CN" w:eastAsia="zh-CN" w:bidi="zh-CN"/>
      </w:rPr>
    </w:lvl>
  </w:abstractNum>
  <w:abstractNum w:abstractNumId="1">
    <w:nsid w:val="9377BC45"/>
    <w:multiLevelType w:val="multilevel"/>
    <w:tmpl w:val="9377BC45"/>
    <w:lvl w:ilvl="0" w:tentative="0">
      <w:start w:val="20"/>
      <w:numFmt w:val="decimal"/>
      <w:lvlText w:val="%1."/>
      <w:lvlJc w:val="left"/>
      <w:pPr>
        <w:ind w:left="776" w:hanging="444"/>
      </w:pPr>
      <w:rPr>
        <w:rFonts w:hint="default" w:ascii="宋体" w:hAnsi="宋体" w:eastAsia="宋体" w:cs="宋体"/>
        <w:b/>
        <w:bCs/>
        <w:spacing w:val="-1"/>
        <w:w w:val="99"/>
        <w:sz w:val="22"/>
        <w:szCs w:val="22"/>
        <w:lang w:val="zh-CN" w:eastAsia="zh-CN" w:bidi="zh-CN"/>
      </w:rPr>
    </w:lvl>
    <w:lvl w:ilvl="1" w:tentative="0">
      <w:start w:val="1"/>
      <w:numFmt w:val="decimal"/>
      <w:lvlText w:val="%1.%2"/>
      <w:lvlJc w:val="left"/>
      <w:pPr>
        <w:ind w:left="884" w:hanging="552"/>
      </w:pPr>
      <w:rPr>
        <w:rFonts w:hint="default" w:ascii="宋体" w:hAnsi="宋体" w:eastAsia="宋体" w:cs="宋体"/>
        <w:spacing w:val="-1"/>
        <w:w w:val="100"/>
        <w:sz w:val="22"/>
        <w:szCs w:val="22"/>
        <w:lang w:val="zh-CN" w:eastAsia="zh-CN" w:bidi="zh-CN"/>
      </w:rPr>
    </w:lvl>
    <w:lvl w:ilvl="2" w:tentative="0">
      <w:start w:val="1"/>
      <w:numFmt w:val="decimal"/>
      <w:lvlText w:val="%3."/>
      <w:lvlJc w:val="left"/>
      <w:pPr>
        <w:ind w:left="1103" w:hanging="329"/>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251" w:hanging="329"/>
      </w:pPr>
      <w:rPr>
        <w:rFonts w:hint="default"/>
        <w:lang w:val="zh-CN" w:eastAsia="zh-CN" w:bidi="zh-CN"/>
      </w:rPr>
    </w:lvl>
    <w:lvl w:ilvl="4" w:tentative="0">
      <w:start w:val="0"/>
      <w:numFmt w:val="bullet"/>
      <w:lvlText w:val="•"/>
      <w:lvlJc w:val="left"/>
      <w:pPr>
        <w:ind w:left="3402" w:hanging="329"/>
      </w:pPr>
      <w:rPr>
        <w:rFonts w:hint="default"/>
        <w:lang w:val="zh-CN" w:eastAsia="zh-CN" w:bidi="zh-CN"/>
      </w:rPr>
    </w:lvl>
    <w:lvl w:ilvl="5" w:tentative="0">
      <w:start w:val="0"/>
      <w:numFmt w:val="bullet"/>
      <w:lvlText w:val="•"/>
      <w:lvlJc w:val="left"/>
      <w:pPr>
        <w:ind w:left="4554" w:hanging="329"/>
      </w:pPr>
      <w:rPr>
        <w:rFonts w:hint="default"/>
        <w:lang w:val="zh-CN" w:eastAsia="zh-CN" w:bidi="zh-CN"/>
      </w:rPr>
    </w:lvl>
    <w:lvl w:ilvl="6" w:tentative="0">
      <w:start w:val="0"/>
      <w:numFmt w:val="bullet"/>
      <w:lvlText w:val="•"/>
      <w:lvlJc w:val="left"/>
      <w:pPr>
        <w:ind w:left="5705" w:hanging="329"/>
      </w:pPr>
      <w:rPr>
        <w:rFonts w:hint="default"/>
        <w:lang w:val="zh-CN" w:eastAsia="zh-CN" w:bidi="zh-CN"/>
      </w:rPr>
    </w:lvl>
    <w:lvl w:ilvl="7" w:tentative="0">
      <w:start w:val="0"/>
      <w:numFmt w:val="bullet"/>
      <w:lvlText w:val="•"/>
      <w:lvlJc w:val="left"/>
      <w:pPr>
        <w:ind w:left="6856" w:hanging="329"/>
      </w:pPr>
      <w:rPr>
        <w:rFonts w:hint="default"/>
        <w:lang w:val="zh-CN" w:eastAsia="zh-CN" w:bidi="zh-CN"/>
      </w:rPr>
    </w:lvl>
    <w:lvl w:ilvl="8" w:tentative="0">
      <w:start w:val="0"/>
      <w:numFmt w:val="bullet"/>
      <w:lvlText w:val="•"/>
      <w:lvlJc w:val="left"/>
      <w:pPr>
        <w:ind w:left="8008" w:hanging="329"/>
      </w:pPr>
      <w:rPr>
        <w:rFonts w:hint="default"/>
        <w:lang w:val="zh-CN" w:eastAsia="zh-CN" w:bidi="zh-CN"/>
      </w:rPr>
    </w:lvl>
  </w:abstractNum>
  <w:abstractNum w:abstractNumId="2">
    <w:nsid w:val="9D5D7490"/>
    <w:multiLevelType w:val="multilevel"/>
    <w:tmpl w:val="9D5D7490"/>
    <w:lvl w:ilvl="0" w:tentative="0">
      <w:start w:val="20"/>
      <w:numFmt w:val="decimal"/>
      <w:lvlText w:val="%1"/>
      <w:lvlJc w:val="left"/>
      <w:pPr>
        <w:ind w:left="887" w:hanging="555"/>
      </w:pPr>
      <w:rPr>
        <w:rFonts w:hint="default"/>
        <w:lang w:val="zh-CN" w:eastAsia="zh-CN" w:bidi="zh-CN"/>
      </w:rPr>
    </w:lvl>
    <w:lvl w:ilvl="1" w:tentative="0">
      <w:start w:val="3"/>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146" w:hanging="771"/>
      </w:pPr>
      <w:rPr>
        <w:rFonts w:hint="default"/>
        <w:lang w:val="zh-CN" w:eastAsia="zh-CN" w:bidi="zh-CN"/>
      </w:rPr>
    </w:lvl>
    <w:lvl w:ilvl="4" w:tentative="0">
      <w:start w:val="0"/>
      <w:numFmt w:val="bullet"/>
      <w:lvlText w:val="•"/>
      <w:lvlJc w:val="left"/>
      <w:pPr>
        <w:ind w:left="4170" w:hanging="771"/>
      </w:pPr>
      <w:rPr>
        <w:rFonts w:hint="default"/>
        <w:lang w:val="zh-CN" w:eastAsia="zh-CN" w:bidi="zh-CN"/>
      </w:rPr>
    </w:lvl>
    <w:lvl w:ilvl="5" w:tentative="0">
      <w:start w:val="0"/>
      <w:numFmt w:val="bullet"/>
      <w:lvlText w:val="•"/>
      <w:lvlJc w:val="left"/>
      <w:pPr>
        <w:ind w:left="5193" w:hanging="771"/>
      </w:pPr>
      <w:rPr>
        <w:rFonts w:hint="default"/>
        <w:lang w:val="zh-CN" w:eastAsia="zh-CN" w:bidi="zh-CN"/>
      </w:rPr>
    </w:lvl>
    <w:lvl w:ilvl="6" w:tentative="0">
      <w:start w:val="0"/>
      <w:numFmt w:val="bullet"/>
      <w:lvlText w:val="•"/>
      <w:lvlJc w:val="left"/>
      <w:pPr>
        <w:ind w:left="6217" w:hanging="771"/>
      </w:pPr>
      <w:rPr>
        <w:rFonts w:hint="default"/>
        <w:lang w:val="zh-CN" w:eastAsia="zh-CN" w:bidi="zh-CN"/>
      </w:rPr>
    </w:lvl>
    <w:lvl w:ilvl="7" w:tentative="0">
      <w:start w:val="0"/>
      <w:numFmt w:val="bullet"/>
      <w:lvlText w:val="•"/>
      <w:lvlJc w:val="left"/>
      <w:pPr>
        <w:ind w:left="7240" w:hanging="771"/>
      </w:pPr>
      <w:rPr>
        <w:rFonts w:hint="default"/>
        <w:lang w:val="zh-CN" w:eastAsia="zh-CN" w:bidi="zh-CN"/>
      </w:rPr>
    </w:lvl>
    <w:lvl w:ilvl="8" w:tentative="0">
      <w:start w:val="0"/>
      <w:numFmt w:val="bullet"/>
      <w:lvlText w:val="•"/>
      <w:lvlJc w:val="left"/>
      <w:pPr>
        <w:ind w:left="8264" w:hanging="771"/>
      </w:pPr>
      <w:rPr>
        <w:rFonts w:hint="default"/>
        <w:lang w:val="zh-CN" w:eastAsia="zh-CN" w:bidi="zh-CN"/>
      </w:rPr>
    </w:lvl>
  </w:abstractNum>
  <w:abstractNum w:abstractNumId="3">
    <w:nsid w:val="B0ED9BEA"/>
    <w:multiLevelType w:val="multilevel"/>
    <w:tmpl w:val="B0ED9BEA"/>
    <w:lvl w:ilvl="0" w:tentative="0">
      <w:start w:val="1"/>
      <w:numFmt w:val="decimal"/>
      <w:lvlText w:val="(%1)"/>
      <w:lvlJc w:val="left"/>
      <w:pPr>
        <w:ind w:left="332" w:hanging="333"/>
      </w:pPr>
      <w:rPr>
        <w:rFonts w:hint="default" w:ascii="宋体" w:hAnsi="宋体" w:eastAsia="宋体" w:cs="宋体"/>
        <w:spacing w:val="-1"/>
        <w:w w:val="100"/>
        <w:sz w:val="20"/>
        <w:szCs w:val="20"/>
        <w:lang w:val="zh-CN" w:eastAsia="zh-CN" w:bidi="zh-CN"/>
      </w:rPr>
    </w:lvl>
    <w:lvl w:ilvl="1" w:tentative="0">
      <w:start w:val="0"/>
      <w:numFmt w:val="bullet"/>
      <w:lvlText w:val="•"/>
      <w:lvlJc w:val="left"/>
      <w:pPr>
        <w:ind w:left="1337" w:hanging="333"/>
      </w:pPr>
      <w:rPr>
        <w:rFonts w:hint="default"/>
        <w:lang w:val="zh-CN" w:eastAsia="zh-CN" w:bidi="zh-CN"/>
      </w:rPr>
    </w:lvl>
    <w:lvl w:ilvl="2" w:tentative="0">
      <w:start w:val="0"/>
      <w:numFmt w:val="bullet"/>
      <w:lvlText w:val="•"/>
      <w:lvlJc w:val="left"/>
      <w:pPr>
        <w:ind w:left="2334" w:hanging="333"/>
      </w:pPr>
      <w:rPr>
        <w:rFonts w:hint="default"/>
        <w:lang w:val="zh-CN" w:eastAsia="zh-CN" w:bidi="zh-CN"/>
      </w:rPr>
    </w:lvl>
    <w:lvl w:ilvl="3" w:tentative="0">
      <w:start w:val="0"/>
      <w:numFmt w:val="bullet"/>
      <w:lvlText w:val="•"/>
      <w:lvlJc w:val="left"/>
      <w:pPr>
        <w:ind w:left="3331" w:hanging="333"/>
      </w:pPr>
      <w:rPr>
        <w:rFonts w:hint="default"/>
        <w:lang w:val="zh-CN" w:eastAsia="zh-CN" w:bidi="zh-CN"/>
      </w:rPr>
    </w:lvl>
    <w:lvl w:ilvl="4" w:tentative="0">
      <w:start w:val="0"/>
      <w:numFmt w:val="bullet"/>
      <w:lvlText w:val="•"/>
      <w:lvlJc w:val="left"/>
      <w:pPr>
        <w:ind w:left="4328" w:hanging="333"/>
      </w:pPr>
      <w:rPr>
        <w:rFonts w:hint="default"/>
        <w:lang w:val="zh-CN" w:eastAsia="zh-CN" w:bidi="zh-CN"/>
      </w:rPr>
    </w:lvl>
    <w:lvl w:ilvl="5" w:tentative="0">
      <w:start w:val="0"/>
      <w:numFmt w:val="bullet"/>
      <w:lvlText w:val="•"/>
      <w:lvlJc w:val="left"/>
      <w:pPr>
        <w:ind w:left="5325" w:hanging="333"/>
      </w:pPr>
      <w:rPr>
        <w:rFonts w:hint="default"/>
        <w:lang w:val="zh-CN" w:eastAsia="zh-CN" w:bidi="zh-CN"/>
      </w:rPr>
    </w:lvl>
    <w:lvl w:ilvl="6" w:tentative="0">
      <w:start w:val="0"/>
      <w:numFmt w:val="bullet"/>
      <w:lvlText w:val="•"/>
      <w:lvlJc w:val="left"/>
      <w:pPr>
        <w:ind w:left="6322" w:hanging="333"/>
      </w:pPr>
      <w:rPr>
        <w:rFonts w:hint="default"/>
        <w:lang w:val="zh-CN" w:eastAsia="zh-CN" w:bidi="zh-CN"/>
      </w:rPr>
    </w:lvl>
    <w:lvl w:ilvl="7" w:tentative="0">
      <w:start w:val="0"/>
      <w:numFmt w:val="bullet"/>
      <w:lvlText w:val="•"/>
      <w:lvlJc w:val="left"/>
      <w:pPr>
        <w:ind w:left="7319" w:hanging="333"/>
      </w:pPr>
      <w:rPr>
        <w:rFonts w:hint="default"/>
        <w:lang w:val="zh-CN" w:eastAsia="zh-CN" w:bidi="zh-CN"/>
      </w:rPr>
    </w:lvl>
    <w:lvl w:ilvl="8" w:tentative="0">
      <w:start w:val="0"/>
      <w:numFmt w:val="bullet"/>
      <w:lvlText w:val="•"/>
      <w:lvlJc w:val="left"/>
      <w:pPr>
        <w:ind w:left="8316" w:hanging="333"/>
      </w:pPr>
      <w:rPr>
        <w:rFonts w:hint="default"/>
        <w:lang w:val="zh-CN" w:eastAsia="zh-CN" w:bidi="zh-CN"/>
      </w:rPr>
    </w:lvl>
  </w:abstractNum>
  <w:abstractNum w:abstractNumId="4">
    <w:nsid w:val="B23A94A9"/>
    <w:multiLevelType w:val="multilevel"/>
    <w:tmpl w:val="B23A94A9"/>
    <w:lvl w:ilvl="0" w:tentative="0">
      <w:start w:val="10"/>
      <w:numFmt w:val="decimal"/>
      <w:lvlText w:val="%1"/>
      <w:lvlJc w:val="left"/>
      <w:pPr>
        <w:ind w:left="887" w:hanging="555"/>
      </w:pPr>
      <w:rPr>
        <w:rFonts w:hint="default"/>
        <w:lang w:val="zh-CN" w:eastAsia="zh-CN" w:bidi="zh-CN"/>
      </w:rPr>
    </w:lvl>
    <w:lvl w:ilvl="1" w:tentative="0">
      <w:start w:val="3"/>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146" w:hanging="771"/>
      </w:pPr>
      <w:rPr>
        <w:rFonts w:hint="default"/>
        <w:lang w:val="zh-CN" w:eastAsia="zh-CN" w:bidi="zh-CN"/>
      </w:rPr>
    </w:lvl>
    <w:lvl w:ilvl="4" w:tentative="0">
      <w:start w:val="0"/>
      <w:numFmt w:val="bullet"/>
      <w:lvlText w:val="•"/>
      <w:lvlJc w:val="left"/>
      <w:pPr>
        <w:ind w:left="4170" w:hanging="771"/>
      </w:pPr>
      <w:rPr>
        <w:rFonts w:hint="default"/>
        <w:lang w:val="zh-CN" w:eastAsia="zh-CN" w:bidi="zh-CN"/>
      </w:rPr>
    </w:lvl>
    <w:lvl w:ilvl="5" w:tentative="0">
      <w:start w:val="0"/>
      <w:numFmt w:val="bullet"/>
      <w:lvlText w:val="•"/>
      <w:lvlJc w:val="left"/>
      <w:pPr>
        <w:ind w:left="5193" w:hanging="771"/>
      </w:pPr>
      <w:rPr>
        <w:rFonts w:hint="default"/>
        <w:lang w:val="zh-CN" w:eastAsia="zh-CN" w:bidi="zh-CN"/>
      </w:rPr>
    </w:lvl>
    <w:lvl w:ilvl="6" w:tentative="0">
      <w:start w:val="0"/>
      <w:numFmt w:val="bullet"/>
      <w:lvlText w:val="•"/>
      <w:lvlJc w:val="left"/>
      <w:pPr>
        <w:ind w:left="6217" w:hanging="771"/>
      </w:pPr>
      <w:rPr>
        <w:rFonts w:hint="default"/>
        <w:lang w:val="zh-CN" w:eastAsia="zh-CN" w:bidi="zh-CN"/>
      </w:rPr>
    </w:lvl>
    <w:lvl w:ilvl="7" w:tentative="0">
      <w:start w:val="0"/>
      <w:numFmt w:val="bullet"/>
      <w:lvlText w:val="•"/>
      <w:lvlJc w:val="left"/>
      <w:pPr>
        <w:ind w:left="7240" w:hanging="771"/>
      </w:pPr>
      <w:rPr>
        <w:rFonts w:hint="default"/>
        <w:lang w:val="zh-CN" w:eastAsia="zh-CN" w:bidi="zh-CN"/>
      </w:rPr>
    </w:lvl>
    <w:lvl w:ilvl="8" w:tentative="0">
      <w:start w:val="0"/>
      <w:numFmt w:val="bullet"/>
      <w:lvlText w:val="•"/>
      <w:lvlJc w:val="left"/>
      <w:pPr>
        <w:ind w:left="8264" w:hanging="771"/>
      </w:pPr>
      <w:rPr>
        <w:rFonts w:hint="default"/>
        <w:lang w:val="zh-CN" w:eastAsia="zh-CN" w:bidi="zh-CN"/>
      </w:rPr>
    </w:lvl>
  </w:abstractNum>
  <w:abstractNum w:abstractNumId="5">
    <w:nsid w:val="C0915F4F"/>
    <w:multiLevelType w:val="multilevel"/>
    <w:tmpl w:val="C0915F4F"/>
    <w:lvl w:ilvl="0" w:tentative="0">
      <w:start w:val="8"/>
      <w:numFmt w:val="decimal"/>
      <w:lvlText w:val="%1"/>
      <w:lvlJc w:val="left"/>
      <w:pPr>
        <w:ind w:left="776" w:hanging="444"/>
      </w:pPr>
      <w:rPr>
        <w:rFonts w:hint="default"/>
        <w:lang w:val="zh-CN" w:eastAsia="zh-CN" w:bidi="zh-CN"/>
      </w:rPr>
    </w:lvl>
    <w:lvl w:ilvl="1" w:tentative="0">
      <w:start w:val="8"/>
      <w:numFmt w:val="decimal"/>
      <w:lvlText w:val="%1.%2"/>
      <w:lvlJc w:val="left"/>
      <w:pPr>
        <w:ind w:left="776" w:hanging="444"/>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992" w:hanging="660"/>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069" w:hanging="660"/>
      </w:pPr>
      <w:rPr>
        <w:rFonts w:hint="default"/>
        <w:lang w:val="zh-CN" w:eastAsia="zh-CN" w:bidi="zh-CN"/>
      </w:rPr>
    </w:lvl>
    <w:lvl w:ilvl="4" w:tentative="0">
      <w:start w:val="0"/>
      <w:numFmt w:val="bullet"/>
      <w:lvlText w:val="•"/>
      <w:lvlJc w:val="left"/>
      <w:pPr>
        <w:ind w:left="4103" w:hanging="660"/>
      </w:pPr>
      <w:rPr>
        <w:rFonts w:hint="default"/>
        <w:lang w:val="zh-CN" w:eastAsia="zh-CN" w:bidi="zh-CN"/>
      </w:rPr>
    </w:lvl>
    <w:lvl w:ilvl="5" w:tentative="0">
      <w:start w:val="0"/>
      <w:numFmt w:val="bullet"/>
      <w:lvlText w:val="•"/>
      <w:lvlJc w:val="left"/>
      <w:pPr>
        <w:ind w:left="5138" w:hanging="660"/>
      </w:pPr>
      <w:rPr>
        <w:rFonts w:hint="default"/>
        <w:lang w:val="zh-CN" w:eastAsia="zh-CN" w:bidi="zh-CN"/>
      </w:rPr>
    </w:lvl>
    <w:lvl w:ilvl="6" w:tentative="0">
      <w:start w:val="0"/>
      <w:numFmt w:val="bullet"/>
      <w:lvlText w:val="•"/>
      <w:lvlJc w:val="left"/>
      <w:pPr>
        <w:ind w:left="6172" w:hanging="660"/>
      </w:pPr>
      <w:rPr>
        <w:rFonts w:hint="default"/>
        <w:lang w:val="zh-CN" w:eastAsia="zh-CN" w:bidi="zh-CN"/>
      </w:rPr>
    </w:lvl>
    <w:lvl w:ilvl="7" w:tentative="0">
      <w:start w:val="0"/>
      <w:numFmt w:val="bullet"/>
      <w:lvlText w:val="•"/>
      <w:lvlJc w:val="left"/>
      <w:pPr>
        <w:ind w:left="7207" w:hanging="660"/>
      </w:pPr>
      <w:rPr>
        <w:rFonts w:hint="default"/>
        <w:lang w:val="zh-CN" w:eastAsia="zh-CN" w:bidi="zh-CN"/>
      </w:rPr>
    </w:lvl>
    <w:lvl w:ilvl="8" w:tentative="0">
      <w:start w:val="0"/>
      <w:numFmt w:val="bullet"/>
      <w:lvlText w:val="•"/>
      <w:lvlJc w:val="left"/>
      <w:pPr>
        <w:ind w:left="8241" w:hanging="660"/>
      </w:pPr>
      <w:rPr>
        <w:rFonts w:hint="default"/>
        <w:lang w:val="zh-CN" w:eastAsia="zh-CN" w:bidi="zh-CN"/>
      </w:rPr>
    </w:lvl>
  </w:abstractNum>
  <w:abstractNum w:abstractNumId="6">
    <w:nsid w:val="C4E0D24A"/>
    <w:multiLevelType w:val="multilevel"/>
    <w:tmpl w:val="C4E0D24A"/>
    <w:lvl w:ilvl="0" w:tentative="0">
      <w:start w:val="13"/>
      <w:numFmt w:val="decimal"/>
      <w:lvlText w:val="%1."/>
      <w:lvlJc w:val="left"/>
      <w:pPr>
        <w:ind w:left="776" w:hanging="444"/>
      </w:pPr>
      <w:rPr>
        <w:rFonts w:hint="default" w:ascii="宋体" w:hAnsi="宋体" w:eastAsia="宋体" w:cs="宋体"/>
        <w:b/>
        <w:bCs/>
        <w:spacing w:val="-1"/>
        <w:w w:val="99"/>
        <w:sz w:val="22"/>
        <w:szCs w:val="22"/>
        <w:lang w:val="zh-CN" w:eastAsia="zh-CN" w:bidi="zh-CN"/>
      </w:rPr>
    </w:lvl>
    <w:lvl w:ilvl="1" w:tentative="0">
      <w:start w:val="1"/>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048" w:hanging="716"/>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1100" w:hanging="716"/>
      </w:pPr>
      <w:rPr>
        <w:rFonts w:hint="default"/>
        <w:lang w:val="zh-CN" w:eastAsia="zh-CN" w:bidi="zh-CN"/>
      </w:rPr>
    </w:lvl>
    <w:lvl w:ilvl="4" w:tentative="0">
      <w:start w:val="0"/>
      <w:numFmt w:val="bullet"/>
      <w:lvlText w:val="•"/>
      <w:lvlJc w:val="left"/>
      <w:pPr>
        <w:ind w:left="2415" w:hanging="716"/>
      </w:pPr>
      <w:rPr>
        <w:rFonts w:hint="default"/>
        <w:lang w:val="zh-CN" w:eastAsia="zh-CN" w:bidi="zh-CN"/>
      </w:rPr>
    </w:lvl>
    <w:lvl w:ilvl="5" w:tentative="0">
      <w:start w:val="0"/>
      <w:numFmt w:val="bullet"/>
      <w:lvlText w:val="•"/>
      <w:lvlJc w:val="left"/>
      <w:pPr>
        <w:ind w:left="3731" w:hanging="716"/>
      </w:pPr>
      <w:rPr>
        <w:rFonts w:hint="default"/>
        <w:lang w:val="zh-CN" w:eastAsia="zh-CN" w:bidi="zh-CN"/>
      </w:rPr>
    </w:lvl>
    <w:lvl w:ilvl="6" w:tentative="0">
      <w:start w:val="0"/>
      <w:numFmt w:val="bullet"/>
      <w:lvlText w:val="•"/>
      <w:lvlJc w:val="left"/>
      <w:pPr>
        <w:ind w:left="5047" w:hanging="716"/>
      </w:pPr>
      <w:rPr>
        <w:rFonts w:hint="default"/>
        <w:lang w:val="zh-CN" w:eastAsia="zh-CN" w:bidi="zh-CN"/>
      </w:rPr>
    </w:lvl>
    <w:lvl w:ilvl="7" w:tentative="0">
      <w:start w:val="0"/>
      <w:numFmt w:val="bullet"/>
      <w:lvlText w:val="•"/>
      <w:lvlJc w:val="left"/>
      <w:pPr>
        <w:ind w:left="6363" w:hanging="716"/>
      </w:pPr>
      <w:rPr>
        <w:rFonts w:hint="default"/>
        <w:lang w:val="zh-CN" w:eastAsia="zh-CN" w:bidi="zh-CN"/>
      </w:rPr>
    </w:lvl>
    <w:lvl w:ilvl="8" w:tentative="0">
      <w:start w:val="0"/>
      <w:numFmt w:val="bullet"/>
      <w:lvlText w:val="•"/>
      <w:lvlJc w:val="left"/>
      <w:pPr>
        <w:ind w:left="7679" w:hanging="716"/>
      </w:pPr>
      <w:rPr>
        <w:rFonts w:hint="default"/>
        <w:lang w:val="zh-CN" w:eastAsia="zh-CN" w:bidi="zh-CN"/>
      </w:rPr>
    </w:lvl>
  </w:abstractNum>
  <w:abstractNum w:abstractNumId="7">
    <w:nsid w:val="D7D140E4"/>
    <w:multiLevelType w:val="multilevel"/>
    <w:tmpl w:val="D7D140E4"/>
    <w:lvl w:ilvl="0" w:tentative="0">
      <w:start w:val="2"/>
      <w:numFmt w:val="decimal"/>
      <w:lvlText w:val="%1"/>
      <w:lvlJc w:val="left"/>
      <w:pPr>
        <w:ind w:left="776" w:hanging="444"/>
      </w:pPr>
      <w:rPr>
        <w:rFonts w:hint="default"/>
        <w:lang w:val="zh-CN" w:eastAsia="zh-CN" w:bidi="zh-CN"/>
      </w:rPr>
    </w:lvl>
    <w:lvl w:ilvl="1" w:tentative="0">
      <w:start w:val="4"/>
      <w:numFmt w:val="decimal"/>
      <w:lvlText w:val="%1.%2"/>
      <w:lvlJc w:val="left"/>
      <w:pPr>
        <w:ind w:left="776" w:hanging="444"/>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992" w:hanging="660"/>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069" w:hanging="660"/>
      </w:pPr>
      <w:rPr>
        <w:rFonts w:hint="default"/>
        <w:lang w:val="zh-CN" w:eastAsia="zh-CN" w:bidi="zh-CN"/>
      </w:rPr>
    </w:lvl>
    <w:lvl w:ilvl="4" w:tentative="0">
      <w:start w:val="0"/>
      <w:numFmt w:val="bullet"/>
      <w:lvlText w:val="•"/>
      <w:lvlJc w:val="left"/>
      <w:pPr>
        <w:ind w:left="4103" w:hanging="660"/>
      </w:pPr>
      <w:rPr>
        <w:rFonts w:hint="default"/>
        <w:lang w:val="zh-CN" w:eastAsia="zh-CN" w:bidi="zh-CN"/>
      </w:rPr>
    </w:lvl>
    <w:lvl w:ilvl="5" w:tentative="0">
      <w:start w:val="0"/>
      <w:numFmt w:val="bullet"/>
      <w:lvlText w:val="•"/>
      <w:lvlJc w:val="left"/>
      <w:pPr>
        <w:ind w:left="5138" w:hanging="660"/>
      </w:pPr>
      <w:rPr>
        <w:rFonts w:hint="default"/>
        <w:lang w:val="zh-CN" w:eastAsia="zh-CN" w:bidi="zh-CN"/>
      </w:rPr>
    </w:lvl>
    <w:lvl w:ilvl="6" w:tentative="0">
      <w:start w:val="0"/>
      <w:numFmt w:val="bullet"/>
      <w:lvlText w:val="•"/>
      <w:lvlJc w:val="left"/>
      <w:pPr>
        <w:ind w:left="6172" w:hanging="660"/>
      </w:pPr>
      <w:rPr>
        <w:rFonts w:hint="default"/>
        <w:lang w:val="zh-CN" w:eastAsia="zh-CN" w:bidi="zh-CN"/>
      </w:rPr>
    </w:lvl>
    <w:lvl w:ilvl="7" w:tentative="0">
      <w:start w:val="0"/>
      <w:numFmt w:val="bullet"/>
      <w:lvlText w:val="•"/>
      <w:lvlJc w:val="left"/>
      <w:pPr>
        <w:ind w:left="7207" w:hanging="660"/>
      </w:pPr>
      <w:rPr>
        <w:rFonts w:hint="default"/>
        <w:lang w:val="zh-CN" w:eastAsia="zh-CN" w:bidi="zh-CN"/>
      </w:rPr>
    </w:lvl>
    <w:lvl w:ilvl="8" w:tentative="0">
      <w:start w:val="0"/>
      <w:numFmt w:val="bullet"/>
      <w:lvlText w:val="•"/>
      <w:lvlJc w:val="left"/>
      <w:pPr>
        <w:ind w:left="8241" w:hanging="660"/>
      </w:pPr>
      <w:rPr>
        <w:rFonts w:hint="default"/>
        <w:lang w:val="zh-CN" w:eastAsia="zh-CN" w:bidi="zh-CN"/>
      </w:rPr>
    </w:lvl>
  </w:abstractNum>
  <w:abstractNum w:abstractNumId="8">
    <w:nsid w:val="DAD3A854"/>
    <w:multiLevelType w:val="multilevel"/>
    <w:tmpl w:val="DAD3A854"/>
    <w:lvl w:ilvl="0" w:tentative="0">
      <w:start w:val="14"/>
      <w:numFmt w:val="decimal"/>
      <w:lvlText w:val="%1"/>
      <w:lvlJc w:val="left"/>
      <w:pPr>
        <w:ind w:left="887" w:hanging="555"/>
      </w:pPr>
      <w:rPr>
        <w:rFonts w:hint="default"/>
        <w:lang w:val="zh-CN" w:eastAsia="zh-CN" w:bidi="zh-CN"/>
      </w:rPr>
    </w:lvl>
    <w:lvl w:ilvl="1" w:tentative="0">
      <w:start w:val="4"/>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146" w:hanging="771"/>
      </w:pPr>
      <w:rPr>
        <w:rFonts w:hint="default"/>
        <w:lang w:val="zh-CN" w:eastAsia="zh-CN" w:bidi="zh-CN"/>
      </w:rPr>
    </w:lvl>
    <w:lvl w:ilvl="4" w:tentative="0">
      <w:start w:val="0"/>
      <w:numFmt w:val="bullet"/>
      <w:lvlText w:val="•"/>
      <w:lvlJc w:val="left"/>
      <w:pPr>
        <w:ind w:left="4170" w:hanging="771"/>
      </w:pPr>
      <w:rPr>
        <w:rFonts w:hint="default"/>
        <w:lang w:val="zh-CN" w:eastAsia="zh-CN" w:bidi="zh-CN"/>
      </w:rPr>
    </w:lvl>
    <w:lvl w:ilvl="5" w:tentative="0">
      <w:start w:val="0"/>
      <w:numFmt w:val="bullet"/>
      <w:lvlText w:val="•"/>
      <w:lvlJc w:val="left"/>
      <w:pPr>
        <w:ind w:left="5193" w:hanging="771"/>
      </w:pPr>
      <w:rPr>
        <w:rFonts w:hint="default"/>
        <w:lang w:val="zh-CN" w:eastAsia="zh-CN" w:bidi="zh-CN"/>
      </w:rPr>
    </w:lvl>
    <w:lvl w:ilvl="6" w:tentative="0">
      <w:start w:val="0"/>
      <w:numFmt w:val="bullet"/>
      <w:lvlText w:val="•"/>
      <w:lvlJc w:val="left"/>
      <w:pPr>
        <w:ind w:left="6217" w:hanging="771"/>
      </w:pPr>
      <w:rPr>
        <w:rFonts w:hint="default"/>
        <w:lang w:val="zh-CN" w:eastAsia="zh-CN" w:bidi="zh-CN"/>
      </w:rPr>
    </w:lvl>
    <w:lvl w:ilvl="7" w:tentative="0">
      <w:start w:val="0"/>
      <w:numFmt w:val="bullet"/>
      <w:lvlText w:val="•"/>
      <w:lvlJc w:val="left"/>
      <w:pPr>
        <w:ind w:left="7240" w:hanging="771"/>
      </w:pPr>
      <w:rPr>
        <w:rFonts w:hint="default"/>
        <w:lang w:val="zh-CN" w:eastAsia="zh-CN" w:bidi="zh-CN"/>
      </w:rPr>
    </w:lvl>
    <w:lvl w:ilvl="8" w:tentative="0">
      <w:start w:val="0"/>
      <w:numFmt w:val="bullet"/>
      <w:lvlText w:val="•"/>
      <w:lvlJc w:val="left"/>
      <w:pPr>
        <w:ind w:left="8264" w:hanging="771"/>
      </w:pPr>
      <w:rPr>
        <w:rFonts w:hint="default"/>
        <w:lang w:val="zh-CN" w:eastAsia="zh-CN" w:bidi="zh-CN"/>
      </w:rPr>
    </w:lvl>
  </w:abstractNum>
  <w:abstractNum w:abstractNumId="9">
    <w:nsid w:val="EA90E5BD"/>
    <w:multiLevelType w:val="singleLevel"/>
    <w:tmpl w:val="EA90E5BD"/>
    <w:lvl w:ilvl="0" w:tentative="0">
      <w:start w:val="1"/>
      <w:numFmt w:val="decimal"/>
      <w:suff w:val="nothing"/>
      <w:lvlText w:val="%1）"/>
      <w:lvlJc w:val="left"/>
    </w:lvl>
  </w:abstractNum>
  <w:abstractNum w:abstractNumId="10">
    <w:nsid w:val="F689643B"/>
    <w:multiLevelType w:val="multilevel"/>
    <w:tmpl w:val="F689643B"/>
    <w:lvl w:ilvl="0" w:tentative="0">
      <w:start w:val="12"/>
      <w:numFmt w:val="decimal"/>
      <w:lvlText w:val="%1."/>
      <w:lvlJc w:val="left"/>
      <w:pPr>
        <w:ind w:left="776" w:hanging="444"/>
      </w:pPr>
      <w:rPr>
        <w:rFonts w:hint="default" w:ascii="宋体" w:hAnsi="宋体" w:eastAsia="宋体" w:cs="宋体"/>
        <w:b/>
        <w:bCs/>
        <w:spacing w:val="-1"/>
        <w:w w:val="99"/>
        <w:sz w:val="22"/>
        <w:szCs w:val="22"/>
        <w:lang w:val="zh-CN" w:eastAsia="zh-CN" w:bidi="zh-CN"/>
      </w:rPr>
    </w:lvl>
    <w:lvl w:ilvl="1" w:tentative="0">
      <w:start w:val="1"/>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251" w:hanging="771"/>
      </w:pPr>
      <w:rPr>
        <w:rFonts w:hint="default"/>
        <w:lang w:val="zh-CN" w:eastAsia="zh-CN" w:bidi="zh-CN"/>
      </w:rPr>
    </w:lvl>
    <w:lvl w:ilvl="4" w:tentative="0">
      <w:start w:val="0"/>
      <w:numFmt w:val="bullet"/>
      <w:lvlText w:val="•"/>
      <w:lvlJc w:val="left"/>
      <w:pPr>
        <w:ind w:left="3402" w:hanging="771"/>
      </w:pPr>
      <w:rPr>
        <w:rFonts w:hint="default"/>
        <w:lang w:val="zh-CN" w:eastAsia="zh-CN" w:bidi="zh-CN"/>
      </w:rPr>
    </w:lvl>
    <w:lvl w:ilvl="5" w:tentative="0">
      <w:start w:val="0"/>
      <w:numFmt w:val="bullet"/>
      <w:lvlText w:val="•"/>
      <w:lvlJc w:val="left"/>
      <w:pPr>
        <w:ind w:left="4554" w:hanging="771"/>
      </w:pPr>
      <w:rPr>
        <w:rFonts w:hint="default"/>
        <w:lang w:val="zh-CN" w:eastAsia="zh-CN" w:bidi="zh-CN"/>
      </w:rPr>
    </w:lvl>
    <w:lvl w:ilvl="6" w:tentative="0">
      <w:start w:val="0"/>
      <w:numFmt w:val="bullet"/>
      <w:lvlText w:val="•"/>
      <w:lvlJc w:val="left"/>
      <w:pPr>
        <w:ind w:left="5705" w:hanging="771"/>
      </w:pPr>
      <w:rPr>
        <w:rFonts w:hint="default"/>
        <w:lang w:val="zh-CN" w:eastAsia="zh-CN" w:bidi="zh-CN"/>
      </w:rPr>
    </w:lvl>
    <w:lvl w:ilvl="7" w:tentative="0">
      <w:start w:val="0"/>
      <w:numFmt w:val="bullet"/>
      <w:lvlText w:val="•"/>
      <w:lvlJc w:val="left"/>
      <w:pPr>
        <w:ind w:left="6856" w:hanging="771"/>
      </w:pPr>
      <w:rPr>
        <w:rFonts w:hint="default"/>
        <w:lang w:val="zh-CN" w:eastAsia="zh-CN" w:bidi="zh-CN"/>
      </w:rPr>
    </w:lvl>
    <w:lvl w:ilvl="8" w:tentative="0">
      <w:start w:val="0"/>
      <w:numFmt w:val="bullet"/>
      <w:lvlText w:val="•"/>
      <w:lvlJc w:val="left"/>
      <w:pPr>
        <w:ind w:left="8008" w:hanging="771"/>
      </w:pPr>
      <w:rPr>
        <w:rFonts w:hint="default"/>
        <w:lang w:val="zh-CN" w:eastAsia="zh-CN" w:bidi="zh-CN"/>
      </w:rPr>
    </w:lvl>
  </w:abstractNum>
  <w:abstractNum w:abstractNumId="11">
    <w:nsid w:val="FEC2EA36"/>
    <w:multiLevelType w:val="multilevel"/>
    <w:tmpl w:val="FEC2EA36"/>
    <w:lvl w:ilvl="0" w:tentative="0">
      <w:start w:val="1"/>
      <w:numFmt w:val="decimal"/>
      <w:lvlText w:val="(%1)"/>
      <w:lvlJc w:val="left"/>
      <w:pPr>
        <w:ind w:left="332" w:hanging="442"/>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1337" w:hanging="442"/>
      </w:pPr>
      <w:rPr>
        <w:rFonts w:hint="default"/>
        <w:lang w:val="zh-CN" w:eastAsia="zh-CN" w:bidi="zh-CN"/>
      </w:rPr>
    </w:lvl>
    <w:lvl w:ilvl="2" w:tentative="0">
      <w:start w:val="0"/>
      <w:numFmt w:val="bullet"/>
      <w:lvlText w:val="•"/>
      <w:lvlJc w:val="left"/>
      <w:pPr>
        <w:ind w:left="2334" w:hanging="442"/>
      </w:pPr>
      <w:rPr>
        <w:rFonts w:hint="default"/>
        <w:lang w:val="zh-CN" w:eastAsia="zh-CN" w:bidi="zh-CN"/>
      </w:rPr>
    </w:lvl>
    <w:lvl w:ilvl="3" w:tentative="0">
      <w:start w:val="0"/>
      <w:numFmt w:val="bullet"/>
      <w:lvlText w:val="•"/>
      <w:lvlJc w:val="left"/>
      <w:pPr>
        <w:ind w:left="3331" w:hanging="442"/>
      </w:pPr>
      <w:rPr>
        <w:rFonts w:hint="default"/>
        <w:lang w:val="zh-CN" w:eastAsia="zh-CN" w:bidi="zh-CN"/>
      </w:rPr>
    </w:lvl>
    <w:lvl w:ilvl="4" w:tentative="0">
      <w:start w:val="0"/>
      <w:numFmt w:val="bullet"/>
      <w:lvlText w:val="•"/>
      <w:lvlJc w:val="left"/>
      <w:pPr>
        <w:ind w:left="4328" w:hanging="442"/>
      </w:pPr>
      <w:rPr>
        <w:rFonts w:hint="default"/>
        <w:lang w:val="zh-CN" w:eastAsia="zh-CN" w:bidi="zh-CN"/>
      </w:rPr>
    </w:lvl>
    <w:lvl w:ilvl="5" w:tentative="0">
      <w:start w:val="0"/>
      <w:numFmt w:val="bullet"/>
      <w:lvlText w:val="•"/>
      <w:lvlJc w:val="left"/>
      <w:pPr>
        <w:ind w:left="5325" w:hanging="442"/>
      </w:pPr>
      <w:rPr>
        <w:rFonts w:hint="default"/>
        <w:lang w:val="zh-CN" w:eastAsia="zh-CN" w:bidi="zh-CN"/>
      </w:rPr>
    </w:lvl>
    <w:lvl w:ilvl="6" w:tentative="0">
      <w:start w:val="0"/>
      <w:numFmt w:val="bullet"/>
      <w:lvlText w:val="•"/>
      <w:lvlJc w:val="left"/>
      <w:pPr>
        <w:ind w:left="6322" w:hanging="442"/>
      </w:pPr>
      <w:rPr>
        <w:rFonts w:hint="default"/>
        <w:lang w:val="zh-CN" w:eastAsia="zh-CN" w:bidi="zh-CN"/>
      </w:rPr>
    </w:lvl>
    <w:lvl w:ilvl="7" w:tentative="0">
      <w:start w:val="0"/>
      <w:numFmt w:val="bullet"/>
      <w:lvlText w:val="•"/>
      <w:lvlJc w:val="left"/>
      <w:pPr>
        <w:ind w:left="7319" w:hanging="442"/>
      </w:pPr>
      <w:rPr>
        <w:rFonts w:hint="default"/>
        <w:lang w:val="zh-CN" w:eastAsia="zh-CN" w:bidi="zh-CN"/>
      </w:rPr>
    </w:lvl>
    <w:lvl w:ilvl="8" w:tentative="0">
      <w:start w:val="0"/>
      <w:numFmt w:val="bullet"/>
      <w:lvlText w:val="•"/>
      <w:lvlJc w:val="left"/>
      <w:pPr>
        <w:ind w:left="8316" w:hanging="442"/>
      </w:pPr>
      <w:rPr>
        <w:rFonts w:hint="default"/>
        <w:lang w:val="zh-CN" w:eastAsia="zh-CN" w:bidi="zh-CN"/>
      </w:rPr>
    </w:lvl>
  </w:abstractNum>
  <w:abstractNum w:abstractNumId="12">
    <w:nsid w:val="03A63A41"/>
    <w:multiLevelType w:val="multilevel"/>
    <w:tmpl w:val="03A63A41"/>
    <w:lvl w:ilvl="0" w:tentative="0">
      <w:start w:val="8"/>
      <w:numFmt w:val="decimal"/>
      <w:lvlText w:val="%1"/>
      <w:lvlJc w:val="left"/>
      <w:pPr>
        <w:ind w:left="776" w:hanging="444"/>
      </w:pPr>
      <w:rPr>
        <w:rFonts w:hint="default"/>
        <w:lang w:val="zh-CN" w:eastAsia="zh-CN" w:bidi="zh-CN"/>
      </w:rPr>
    </w:lvl>
    <w:lvl w:ilvl="1" w:tentative="0">
      <w:start w:val="6"/>
      <w:numFmt w:val="decimal"/>
      <w:lvlText w:val="%1.%2"/>
      <w:lvlJc w:val="left"/>
      <w:pPr>
        <w:ind w:left="776" w:hanging="444"/>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992" w:hanging="660"/>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069" w:hanging="660"/>
      </w:pPr>
      <w:rPr>
        <w:rFonts w:hint="default"/>
        <w:lang w:val="zh-CN" w:eastAsia="zh-CN" w:bidi="zh-CN"/>
      </w:rPr>
    </w:lvl>
    <w:lvl w:ilvl="4" w:tentative="0">
      <w:start w:val="0"/>
      <w:numFmt w:val="bullet"/>
      <w:lvlText w:val="•"/>
      <w:lvlJc w:val="left"/>
      <w:pPr>
        <w:ind w:left="4103" w:hanging="660"/>
      </w:pPr>
      <w:rPr>
        <w:rFonts w:hint="default"/>
        <w:lang w:val="zh-CN" w:eastAsia="zh-CN" w:bidi="zh-CN"/>
      </w:rPr>
    </w:lvl>
    <w:lvl w:ilvl="5" w:tentative="0">
      <w:start w:val="0"/>
      <w:numFmt w:val="bullet"/>
      <w:lvlText w:val="•"/>
      <w:lvlJc w:val="left"/>
      <w:pPr>
        <w:ind w:left="5138" w:hanging="660"/>
      </w:pPr>
      <w:rPr>
        <w:rFonts w:hint="default"/>
        <w:lang w:val="zh-CN" w:eastAsia="zh-CN" w:bidi="zh-CN"/>
      </w:rPr>
    </w:lvl>
    <w:lvl w:ilvl="6" w:tentative="0">
      <w:start w:val="0"/>
      <w:numFmt w:val="bullet"/>
      <w:lvlText w:val="•"/>
      <w:lvlJc w:val="left"/>
      <w:pPr>
        <w:ind w:left="6172" w:hanging="660"/>
      </w:pPr>
      <w:rPr>
        <w:rFonts w:hint="default"/>
        <w:lang w:val="zh-CN" w:eastAsia="zh-CN" w:bidi="zh-CN"/>
      </w:rPr>
    </w:lvl>
    <w:lvl w:ilvl="7" w:tentative="0">
      <w:start w:val="0"/>
      <w:numFmt w:val="bullet"/>
      <w:lvlText w:val="•"/>
      <w:lvlJc w:val="left"/>
      <w:pPr>
        <w:ind w:left="7207" w:hanging="660"/>
      </w:pPr>
      <w:rPr>
        <w:rFonts w:hint="default"/>
        <w:lang w:val="zh-CN" w:eastAsia="zh-CN" w:bidi="zh-CN"/>
      </w:rPr>
    </w:lvl>
    <w:lvl w:ilvl="8" w:tentative="0">
      <w:start w:val="0"/>
      <w:numFmt w:val="bullet"/>
      <w:lvlText w:val="•"/>
      <w:lvlJc w:val="left"/>
      <w:pPr>
        <w:ind w:left="8241" w:hanging="660"/>
      </w:pPr>
      <w:rPr>
        <w:rFonts w:hint="default"/>
        <w:lang w:val="zh-CN" w:eastAsia="zh-CN" w:bidi="zh-CN"/>
      </w:rPr>
    </w:lvl>
  </w:abstractNum>
  <w:abstractNum w:abstractNumId="13">
    <w:nsid w:val="0709FD3E"/>
    <w:multiLevelType w:val="multilevel"/>
    <w:tmpl w:val="0709FD3E"/>
    <w:lvl w:ilvl="0" w:tentative="0">
      <w:start w:val="1"/>
      <w:numFmt w:val="decimal"/>
      <w:lvlText w:val="%1"/>
      <w:lvlJc w:val="left"/>
      <w:pPr>
        <w:ind w:left="887" w:hanging="555"/>
      </w:pPr>
      <w:rPr>
        <w:rFonts w:hint="default"/>
        <w:lang w:val="zh-CN" w:eastAsia="zh-CN" w:bidi="zh-CN"/>
      </w:rPr>
    </w:lvl>
    <w:lvl w:ilvl="1" w:tentative="0">
      <w:start w:val="10"/>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251" w:hanging="771"/>
      </w:pPr>
      <w:rPr>
        <w:rFonts w:hint="default"/>
        <w:lang w:val="zh-CN" w:eastAsia="zh-CN" w:bidi="zh-CN"/>
      </w:rPr>
    </w:lvl>
    <w:lvl w:ilvl="4" w:tentative="0">
      <w:start w:val="0"/>
      <w:numFmt w:val="bullet"/>
      <w:lvlText w:val="•"/>
      <w:lvlJc w:val="left"/>
      <w:pPr>
        <w:ind w:left="3402" w:hanging="771"/>
      </w:pPr>
      <w:rPr>
        <w:rFonts w:hint="default"/>
        <w:lang w:val="zh-CN" w:eastAsia="zh-CN" w:bidi="zh-CN"/>
      </w:rPr>
    </w:lvl>
    <w:lvl w:ilvl="5" w:tentative="0">
      <w:start w:val="0"/>
      <w:numFmt w:val="bullet"/>
      <w:lvlText w:val="•"/>
      <w:lvlJc w:val="left"/>
      <w:pPr>
        <w:ind w:left="4554" w:hanging="771"/>
      </w:pPr>
      <w:rPr>
        <w:rFonts w:hint="default"/>
        <w:lang w:val="zh-CN" w:eastAsia="zh-CN" w:bidi="zh-CN"/>
      </w:rPr>
    </w:lvl>
    <w:lvl w:ilvl="6" w:tentative="0">
      <w:start w:val="0"/>
      <w:numFmt w:val="bullet"/>
      <w:lvlText w:val="•"/>
      <w:lvlJc w:val="left"/>
      <w:pPr>
        <w:ind w:left="5705" w:hanging="771"/>
      </w:pPr>
      <w:rPr>
        <w:rFonts w:hint="default"/>
        <w:lang w:val="zh-CN" w:eastAsia="zh-CN" w:bidi="zh-CN"/>
      </w:rPr>
    </w:lvl>
    <w:lvl w:ilvl="7" w:tentative="0">
      <w:start w:val="0"/>
      <w:numFmt w:val="bullet"/>
      <w:lvlText w:val="•"/>
      <w:lvlJc w:val="left"/>
      <w:pPr>
        <w:ind w:left="6856" w:hanging="771"/>
      </w:pPr>
      <w:rPr>
        <w:rFonts w:hint="default"/>
        <w:lang w:val="zh-CN" w:eastAsia="zh-CN" w:bidi="zh-CN"/>
      </w:rPr>
    </w:lvl>
    <w:lvl w:ilvl="8" w:tentative="0">
      <w:start w:val="0"/>
      <w:numFmt w:val="bullet"/>
      <w:lvlText w:val="•"/>
      <w:lvlJc w:val="left"/>
      <w:pPr>
        <w:ind w:left="8008" w:hanging="771"/>
      </w:pPr>
      <w:rPr>
        <w:rFonts w:hint="default"/>
        <w:lang w:val="zh-CN" w:eastAsia="zh-CN" w:bidi="zh-CN"/>
      </w:rPr>
    </w:lvl>
  </w:abstractNum>
  <w:abstractNum w:abstractNumId="14">
    <w:nsid w:val="12EADF99"/>
    <w:multiLevelType w:val="multilevel"/>
    <w:tmpl w:val="12EADF99"/>
    <w:lvl w:ilvl="0" w:tentative="0">
      <w:start w:val="9"/>
      <w:numFmt w:val="decimal"/>
      <w:lvlText w:val="%1"/>
      <w:lvlJc w:val="left"/>
      <w:pPr>
        <w:ind w:left="776" w:hanging="444"/>
      </w:pPr>
      <w:rPr>
        <w:rFonts w:hint="default"/>
        <w:lang w:val="zh-CN" w:eastAsia="zh-CN" w:bidi="zh-CN"/>
      </w:rPr>
    </w:lvl>
    <w:lvl w:ilvl="1" w:tentative="0">
      <w:start w:val="4"/>
      <w:numFmt w:val="decimal"/>
      <w:lvlText w:val="%1.%2"/>
      <w:lvlJc w:val="left"/>
      <w:pPr>
        <w:ind w:left="776" w:hanging="444"/>
      </w:pPr>
      <w:rPr>
        <w:rFonts w:hint="default" w:ascii="宋体" w:hAnsi="宋体" w:eastAsia="宋体" w:cs="宋体"/>
        <w:b/>
        <w:bCs/>
        <w:spacing w:val="-1"/>
        <w:w w:val="99"/>
        <w:sz w:val="22"/>
        <w:szCs w:val="22"/>
        <w:lang w:val="zh-CN" w:eastAsia="zh-CN" w:bidi="zh-CN"/>
      </w:rPr>
    </w:lvl>
    <w:lvl w:ilvl="2" w:tentative="0">
      <w:start w:val="0"/>
      <w:numFmt w:val="bullet"/>
      <w:lvlText w:val="•"/>
      <w:lvlJc w:val="left"/>
      <w:pPr>
        <w:ind w:left="2686" w:hanging="444"/>
      </w:pPr>
      <w:rPr>
        <w:rFonts w:hint="default"/>
        <w:lang w:val="zh-CN" w:eastAsia="zh-CN" w:bidi="zh-CN"/>
      </w:rPr>
    </w:lvl>
    <w:lvl w:ilvl="3" w:tentative="0">
      <w:start w:val="0"/>
      <w:numFmt w:val="bullet"/>
      <w:lvlText w:val="•"/>
      <w:lvlJc w:val="left"/>
      <w:pPr>
        <w:ind w:left="3639" w:hanging="444"/>
      </w:pPr>
      <w:rPr>
        <w:rFonts w:hint="default"/>
        <w:lang w:val="zh-CN" w:eastAsia="zh-CN" w:bidi="zh-CN"/>
      </w:rPr>
    </w:lvl>
    <w:lvl w:ilvl="4" w:tentative="0">
      <w:start w:val="0"/>
      <w:numFmt w:val="bullet"/>
      <w:lvlText w:val="•"/>
      <w:lvlJc w:val="left"/>
      <w:pPr>
        <w:ind w:left="4592" w:hanging="444"/>
      </w:pPr>
      <w:rPr>
        <w:rFonts w:hint="default"/>
        <w:lang w:val="zh-CN" w:eastAsia="zh-CN" w:bidi="zh-CN"/>
      </w:rPr>
    </w:lvl>
    <w:lvl w:ilvl="5" w:tentative="0">
      <w:start w:val="0"/>
      <w:numFmt w:val="bullet"/>
      <w:lvlText w:val="•"/>
      <w:lvlJc w:val="left"/>
      <w:pPr>
        <w:ind w:left="5545" w:hanging="444"/>
      </w:pPr>
      <w:rPr>
        <w:rFonts w:hint="default"/>
        <w:lang w:val="zh-CN" w:eastAsia="zh-CN" w:bidi="zh-CN"/>
      </w:rPr>
    </w:lvl>
    <w:lvl w:ilvl="6" w:tentative="0">
      <w:start w:val="0"/>
      <w:numFmt w:val="bullet"/>
      <w:lvlText w:val="•"/>
      <w:lvlJc w:val="left"/>
      <w:pPr>
        <w:ind w:left="6498" w:hanging="444"/>
      </w:pPr>
      <w:rPr>
        <w:rFonts w:hint="default"/>
        <w:lang w:val="zh-CN" w:eastAsia="zh-CN" w:bidi="zh-CN"/>
      </w:rPr>
    </w:lvl>
    <w:lvl w:ilvl="7" w:tentative="0">
      <w:start w:val="0"/>
      <w:numFmt w:val="bullet"/>
      <w:lvlText w:val="•"/>
      <w:lvlJc w:val="left"/>
      <w:pPr>
        <w:ind w:left="7451" w:hanging="444"/>
      </w:pPr>
      <w:rPr>
        <w:rFonts w:hint="default"/>
        <w:lang w:val="zh-CN" w:eastAsia="zh-CN" w:bidi="zh-CN"/>
      </w:rPr>
    </w:lvl>
    <w:lvl w:ilvl="8" w:tentative="0">
      <w:start w:val="0"/>
      <w:numFmt w:val="bullet"/>
      <w:lvlText w:val="•"/>
      <w:lvlJc w:val="left"/>
      <w:pPr>
        <w:ind w:left="8404" w:hanging="444"/>
      </w:pPr>
      <w:rPr>
        <w:rFonts w:hint="default"/>
        <w:lang w:val="zh-CN" w:eastAsia="zh-CN" w:bidi="zh-CN"/>
      </w:rPr>
    </w:lvl>
  </w:abstractNum>
  <w:abstractNum w:abstractNumId="15">
    <w:nsid w:val="1ACDE60F"/>
    <w:multiLevelType w:val="multilevel"/>
    <w:tmpl w:val="1ACDE60F"/>
    <w:lvl w:ilvl="0" w:tentative="0">
      <w:start w:val="1"/>
      <w:numFmt w:val="decimal"/>
      <w:lvlText w:val="%1."/>
      <w:lvlJc w:val="left"/>
      <w:pPr>
        <w:ind w:left="332" w:hanging="332"/>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1337" w:hanging="332"/>
      </w:pPr>
      <w:rPr>
        <w:rFonts w:hint="default"/>
        <w:lang w:val="zh-CN" w:eastAsia="zh-CN" w:bidi="zh-CN"/>
      </w:rPr>
    </w:lvl>
    <w:lvl w:ilvl="2" w:tentative="0">
      <w:start w:val="0"/>
      <w:numFmt w:val="bullet"/>
      <w:lvlText w:val="•"/>
      <w:lvlJc w:val="left"/>
      <w:pPr>
        <w:ind w:left="2334" w:hanging="332"/>
      </w:pPr>
      <w:rPr>
        <w:rFonts w:hint="default"/>
        <w:lang w:val="zh-CN" w:eastAsia="zh-CN" w:bidi="zh-CN"/>
      </w:rPr>
    </w:lvl>
    <w:lvl w:ilvl="3" w:tentative="0">
      <w:start w:val="0"/>
      <w:numFmt w:val="bullet"/>
      <w:lvlText w:val="•"/>
      <w:lvlJc w:val="left"/>
      <w:pPr>
        <w:ind w:left="3331" w:hanging="332"/>
      </w:pPr>
      <w:rPr>
        <w:rFonts w:hint="default"/>
        <w:lang w:val="zh-CN" w:eastAsia="zh-CN" w:bidi="zh-CN"/>
      </w:rPr>
    </w:lvl>
    <w:lvl w:ilvl="4" w:tentative="0">
      <w:start w:val="0"/>
      <w:numFmt w:val="bullet"/>
      <w:lvlText w:val="•"/>
      <w:lvlJc w:val="left"/>
      <w:pPr>
        <w:ind w:left="4328" w:hanging="332"/>
      </w:pPr>
      <w:rPr>
        <w:rFonts w:hint="default"/>
        <w:lang w:val="zh-CN" w:eastAsia="zh-CN" w:bidi="zh-CN"/>
      </w:rPr>
    </w:lvl>
    <w:lvl w:ilvl="5" w:tentative="0">
      <w:start w:val="0"/>
      <w:numFmt w:val="bullet"/>
      <w:lvlText w:val="•"/>
      <w:lvlJc w:val="left"/>
      <w:pPr>
        <w:ind w:left="5325" w:hanging="332"/>
      </w:pPr>
      <w:rPr>
        <w:rFonts w:hint="default"/>
        <w:lang w:val="zh-CN" w:eastAsia="zh-CN" w:bidi="zh-CN"/>
      </w:rPr>
    </w:lvl>
    <w:lvl w:ilvl="6" w:tentative="0">
      <w:start w:val="0"/>
      <w:numFmt w:val="bullet"/>
      <w:lvlText w:val="•"/>
      <w:lvlJc w:val="left"/>
      <w:pPr>
        <w:ind w:left="6322" w:hanging="332"/>
      </w:pPr>
      <w:rPr>
        <w:rFonts w:hint="default"/>
        <w:lang w:val="zh-CN" w:eastAsia="zh-CN" w:bidi="zh-CN"/>
      </w:rPr>
    </w:lvl>
    <w:lvl w:ilvl="7" w:tentative="0">
      <w:start w:val="0"/>
      <w:numFmt w:val="bullet"/>
      <w:lvlText w:val="•"/>
      <w:lvlJc w:val="left"/>
      <w:pPr>
        <w:ind w:left="7319" w:hanging="332"/>
      </w:pPr>
      <w:rPr>
        <w:rFonts w:hint="default"/>
        <w:lang w:val="zh-CN" w:eastAsia="zh-CN" w:bidi="zh-CN"/>
      </w:rPr>
    </w:lvl>
    <w:lvl w:ilvl="8" w:tentative="0">
      <w:start w:val="0"/>
      <w:numFmt w:val="bullet"/>
      <w:lvlText w:val="•"/>
      <w:lvlJc w:val="left"/>
      <w:pPr>
        <w:ind w:left="8316" w:hanging="332"/>
      </w:pPr>
      <w:rPr>
        <w:rFonts w:hint="default"/>
        <w:lang w:val="zh-CN" w:eastAsia="zh-CN" w:bidi="zh-CN"/>
      </w:rPr>
    </w:lvl>
  </w:abstractNum>
  <w:abstractNum w:abstractNumId="16">
    <w:nsid w:val="2219E287"/>
    <w:multiLevelType w:val="singleLevel"/>
    <w:tmpl w:val="2219E287"/>
    <w:lvl w:ilvl="0" w:tentative="0">
      <w:start w:val="1"/>
      <w:numFmt w:val="chineseCounting"/>
      <w:suff w:val="nothing"/>
      <w:lvlText w:val="%1、"/>
      <w:lvlJc w:val="left"/>
      <w:rPr>
        <w:rFonts w:hint="eastAsia"/>
      </w:rPr>
    </w:lvl>
  </w:abstractNum>
  <w:abstractNum w:abstractNumId="17">
    <w:nsid w:val="23E97754"/>
    <w:multiLevelType w:val="multilevel"/>
    <w:tmpl w:val="23E97754"/>
    <w:lvl w:ilvl="0" w:tentative="0">
      <w:start w:val="3"/>
      <w:numFmt w:val="decimal"/>
      <w:lvlText w:val="%1"/>
      <w:lvlJc w:val="left"/>
      <w:pPr>
        <w:ind w:left="776" w:hanging="444"/>
      </w:pPr>
      <w:rPr>
        <w:rFonts w:hint="default"/>
        <w:lang w:val="zh-CN" w:eastAsia="zh-CN" w:bidi="zh-CN"/>
      </w:rPr>
    </w:lvl>
    <w:lvl w:ilvl="1" w:tentative="0">
      <w:start w:val="5"/>
      <w:numFmt w:val="decimal"/>
      <w:lvlText w:val="%1.%2"/>
      <w:lvlJc w:val="left"/>
      <w:pPr>
        <w:ind w:left="776" w:hanging="444"/>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992" w:hanging="660"/>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069" w:hanging="660"/>
      </w:pPr>
      <w:rPr>
        <w:rFonts w:hint="default"/>
        <w:lang w:val="zh-CN" w:eastAsia="zh-CN" w:bidi="zh-CN"/>
      </w:rPr>
    </w:lvl>
    <w:lvl w:ilvl="4" w:tentative="0">
      <w:start w:val="0"/>
      <w:numFmt w:val="bullet"/>
      <w:lvlText w:val="•"/>
      <w:lvlJc w:val="left"/>
      <w:pPr>
        <w:ind w:left="4103" w:hanging="660"/>
      </w:pPr>
      <w:rPr>
        <w:rFonts w:hint="default"/>
        <w:lang w:val="zh-CN" w:eastAsia="zh-CN" w:bidi="zh-CN"/>
      </w:rPr>
    </w:lvl>
    <w:lvl w:ilvl="5" w:tentative="0">
      <w:start w:val="0"/>
      <w:numFmt w:val="bullet"/>
      <w:lvlText w:val="•"/>
      <w:lvlJc w:val="left"/>
      <w:pPr>
        <w:ind w:left="5138" w:hanging="660"/>
      </w:pPr>
      <w:rPr>
        <w:rFonts w:hint="default"/>
        <w:lang w:val="zh-CN" w:eastAsia="zh-CN" w:bidi="zh-CN"/>
      </w:rPr>
    </w:lvl>
    <w:lvl w:ilvl="6" w:tentative="0">
      <w:start w:val="0"/>
      <w:numFmt w:val="bullet"/>
      <w:lvlText w:val="•"/>
      <w:lvlJc w:val="left"/>
      <w:pPr>
        <w:ind w:left="6172" w:hanging="660"/>
      </w:pPr>
      <w:rPr>
        <w:rFonts w:hint="default"/>
        <w:lang w:val="zh-CN" w:eastAsia="zh-CN" w:bidi="zh-CN"/>
      </w:rPr>
    </w:lvl>
    <w:lvl w:ilvl="7" w:tentative="0">
      <w:start w:val="0"/>
      <w:numFmt w:val="bullet"/>
      <w:lvlText w:val="•"/>
      <w:lvlJc w:val="left"/>
      <w:pPr>
        <w:ind w:left="7207" w:hanging="660"/>
      </w:pPr>
      <w:rPr>
        <w:rFonts w:hint="default"/>
        <w:lang w:val="zh-CN" w:eastAsia="zh-CN" w:bidi="zh-CN"/>
      </w:rPr>
    </w:lvl>
    <w:lvl w:ilvl="8" w:tentative="0">
      <w:start w:val="0"/>
      <w:numFmt w:val="bullet"/>
      <w:lvlText w:val="•"/>
      <w:lvlJc w:val="left"/>
      <w:pPr>
        <w:ind w:left="8241" w:hanging="660"/>
      </w:pPr>
      <w:rPr>
        <w:rFonts w:hint="default"/>
        <w:lang w:val="zh-CN" w:eastAsia="zh-CN" w:bidi="zh-CN"/>
      </w:rPr>
    </w:lvl>
  </w:abstractNum>
  <w:abstractNum w:abstractNumId="18">
    <w:nsid w:val="2CE26715"/>
    <w:multiLevelType w:val="singleLevel"/>
    <w:tmpl w:val="2CE26715"/>
    <w:lvl w:ilvl="0" w:tentative="0">
      <w:start w:val="8"/>
      <w:numFmt w:val="decimal"/>
      <w:suff w:val="space"/>
      <w:lvlText w:val="（%1）"/>
      <w:lvlJc w:val="left"/>
    </w:lvl>
  </w:abstractNum>
  <w:abstractNum w:abstractNumId="19">
    <w:nsid w:val="2F2D79CE"/>
    <w:multiLevelType w:val="multilevel"/>
    <w:tmpl w:val="2F2D79CE"/>
    <w:lvl w:ilvl="0" w:tentative="0">
      <w:start w:val="15"/>
      <w:numFmt w:val="decimal"/>
      <w:lvlText w:val="%1"/>
      <w:lvlJc w:val="left"/>
      <w:pPr>
        <w:ind w:left="887" w:hanging="555"/>
      </w:pPr>
      <w:rPr>
        <w:rFonts w:hint="default"/>
        <w:lang w:val="zh-CN" w:eastAsia="zh-CN" w:bidi="zh-CN"/>
      </w:rPr>
    </w:lvl>
    <w:lvl w:ilvl="1" w:tentative="0">
      <w:start w:val="2"/>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146" w:hanging="771"/>
      </w:pPr>
      <w:rPr>
        <w:rFonts w:hint="default"/>
        <w:lang w:val="zh-CN" w:eastAsia="zh-CN" w:bidi="zh-CN"/>
      </w:rPr>
    </w:lvl>
    <w:lvl w:ilvl="4" w:tentative="0">
      <w:start w:val="0"/>
      <w:numFmt w:val="bullet"/>
      <w:lvlText w:val="•"/>
      <w:lvlJc w:val="left"/>
      <w:pPr>
        <w:ind w:left="4170" w:hanging="771"/>
      </w:pPr>
      <w:rPr>
        <w:rFonts w:hint="default"/>
        <w:lang w:val="zh-CN" w:eastAsia="zh-CN" w:bidi="zh-CN"/>
      </w:rPr>
    </w:lvl>
    <w:lvl w:ilvl="5" w:tentative="0">
      <w:start w:val="0"/>
      <w:numFmt w:val="bullet"/>
      <w:lvlText w:val="•"/>
      <w:lvlJc w:val="left"/>
      <w:pPr>
        <w:ind w:left="5193" w:hanging="771"/>
      </w:pPr>
      <w:rPr>
        <w:rFonts w:hint="default"/>
        <w:lang w:val="zh-CN" w:eastAsia="zh-CN" w:bidi="zh-CN"/>
      </w:rPr>
    </w:lvl>
    <w:lvl w:ilvl="6" w:tentative="0">
      <w:start w:val="0"/>
      <w:numFmt w:val="bullet"/>
      <w:lvlText w:val="•"/>
      <w:lvlJc w:val="left"/>
      <w:pPr>
        <w:ind w:left="6217" w:hanging="771"/>
      </w:pPr>
      <w:rPr>
        <w:rFonts w:hint="default"/>
        <w:lang w:val="zh-CN" w:eastAsia="zh-CN" w:bidi="zh-CN"/>
      </w:rPr>
    </w:lvl>
    <w:lvl w:ilvl="7" w:tentative="0">
      <w:start w:val="0"/>
      <w:numFmt w:val="bullet"/>
      <w:lvlText w:val="•"/>
      <w:lvlJc w:val="left"/>
      <w:pPr>
        <w:ind w:left="7240" w:hanging="771"/>
      </w:pPr>
      <w:rPr>
        <w:rFonts w:hint="default"/>
        <w:lang w:val="zh-CN" w:eastAsia="zh-CN" w:bidi="zh-CN"/>
      </w:rPr>
    </w:lvl>
    <w:lvl w:ilvl="8" w:tentative="0">
      <w:start w:val="0"/>
      <w:numFmt w:val="bullet"/>
      <w:lvlText w:val="•"/>
      <w:lvlJc w:val="left"/>
      <w:pPr>
        <w:ind w:left="8264" w:hanging="771"/>
      </w:pPr>
      <w:rPr>
        <w:rFonts w:hint="default"/>
        <w:lang w:val="zh-CN" w:eastAsia="zh-CN" w:bidi="zh-CN"/>
      </w:rPr>
    </w:lvl>
  </w:abstractNum>
  <w:abstractNum w:abstractNumId="20">
    <w:nsid w:val="324499CC"/>
    <w:multiLevelType w:val="singleLevel"/>
    <w:tmpl w:val="324499CC"/>
    <w:lvl w:ilvl="0" w:tentative="0">
      <w:start w:val="2"/>
      <w:numFmt w:val="decimal"/>
      <w:suff w:val="nothing"/>
      <w:lvlText w:val="（%1）"/>
      <w:lvlJc w:val="left"/>
      <w:rPr>
        <w:rFonts w:cs="Times New Roman"/>
      </w:rPr>
    </w:lvl>
  </w:abstractNum>
  <w:abstractNum w:abstractNumId="21">
    <w:nsid w:val="35E83B33"/>
    <w:multiLevelType w:val="multilevel"/>
    <w:tmpl w:val="35E83B33"/>
    <w:lvl w:ilvl="0" w:tentative="0">
      <w:start w:val="2"/>
      <w:numFmt w:val="decimal"/>
      <w:lvlText w:val="（%1）"/>
      <w:lvlJc w:val="left"/>
      <w:pPr>
        <w:ind w:left="1545" w:hanging="705"/>
      </w:pPr>
      <w:rPr>
        <w:rFonts w:hint="default" w:ascii="宋体" w:hAnsi="宋体" w:eastAsia="宋体" w:cs="宋体"/>
        <w:b/>
        <w:bCs/>
        <w:spacing w:val="-1"/>
        <w:w w:val="99"/>
        <w:sz w:val="26"/>
        <w:szCs w:val="26"/>
        <w:lang w:val="zh-CN" w:eastAsia="zh-CN" w:bidi="zh-CN"/>
      </w:rPr>
    </w:lvl>
    <w:lvl w:ilvl="1" w:tentative="0">
      <w:start w:val="0"/>
      <w:numFmt w:val="bullet"/>
      <w:lvlText w:val="•"/>
      <w:lvlJc w:val="left"/>
      <w:pPr>
        <w:ind w:left="1898" w:hanging="705"/>
      </w:pPr>
      <w:rPr>
        <w:rFonts w:hint="default"/>
        <w:lang w:val="zh-CN" w:eastAsia="zh-CN" w:bidi="zh-CN"/>
      </w:rPr>
    </w:lvl>
    <w:lvl w:ilvl="2" w:tentative="0">
      <w:start w:val="0"/>
      <w:numFmt w:val="bullet"/>
      <w:lvlText w:val="•"/>
      <w:lvlJc w:val="left"/>
      <w:pPr>
        <w:ind w:left="2796" w:hanging="705"/>
      </w:pPr>
      <w:rPr>
        <w:rFonts w:hint="default"/>
        <w:lang w:val="zh-CN" w:eastAsia="zh-CN" w:bidi="zh-CN"/>
      </w:rPr>
    </w:lvl>
    <w:lvl w:ilvl="3" w:tentative="0">
      <w:start w:val="0"/>
      <w:numFmt w:val="bullet"/>
      <w:lvlText w:val="•"/>
      <w:lvlJc w:val="left"/>
      <w:pPr>
        <w:ind w:left="3694" w:hanging="705"/>
      </w:pPr>
      <w:rPr>
        <w:rFonts w:hint="default"/>
        <w:lang w:val="zh-CN" w:eastAsia="zh-CN" w:bidi="zh-CN"/>
      </w:rPr>
    </w:lvl>
    <w:lvl w:ilvl="4" w:tentative="0">
      <w:start w:val="0"/>
      <w:numFmt w:val="bullet"/>
      <w:lvlText w:val="•"/>
      <w:lvlJc w:val="left"/>
      <w:pPr>
        <w:ind w:left="4592" w:hanging="705"/>
      </w:pPr>
      <w:rPr>
        <w:rFonts w:hint="default"/>
        <w:lang w:val="zh-CN" w:eastAsia="zh-CN" w:bidi="zh-CN"/>
      </w:rPr>
    </w:lvl>
    <w:lvl w:ilvl="5" w:tentative="0">
      <w:start w:val="0"/>
      <w:numFmt w:val="bullet"/>
      <w:lvlText w:val="•"/>
      <w:lvlJc w:val="left"/>
      <w:pPr>
        <w:ind w:left="5490" w:hanging="705"/>
      </w:pPr>
      <w:rPr>
        <w:rFonts w:hint="default"/>
        <w:lang w:val="zh-CN" w:eastAsia="zh-CN" w:bidi="zh-CN"/>
      </w:rPr>
    </w:lvl>
    <w:lvl w:ilvl="6" w:tentative="0">
      <w:start w:val="0"/>
      <w:numFmt w:val="bullet"/>
      <w:lvlText w:val="•"/>
      <w:lvlJc w:val="left"/>
      <w:pPr>
        <w:ind w:left="6388" w:hanging="705"/>
      </w:pPr>
      <w:rPr>
        <w:rFonts w:hint="default"/>
        <w:lang w:val="zh-CN" w:eastAsia="zh-CN" w:bidi="zh-CN"/>
      </w:rPr>
    </w:lvl>
    <w:lvl w:ilvl="7" w:tentative="0">
      <w:start w:val="0"/>
      <w:numFmt w:val="bullet"/>
      <w:lvlText w:val="•"/>
      <w:lvlJc w:val="left"/>
      <w:pPr>
        <w:ind w:left="7286" w:hanging="705"/>
      </w:pPr>
      <w:rPr>
        <w:rFonts w:hint="default"/>
        <w:lang w:val="zh-CN" w:eastAsia="zh-CN" w:bidi="zh-CN"/>
      </w:rPr>
    </w:lvl>
    <w:lvl w:ilvl="8" w:tentative="0">
      <w:start w:val="0"/>
      <w:numFmt w:val="bullet"/>
      <w:lvlText w:val="•"/>
      <w:lvlJc w:val="left"/>
      <w:pPr>
        <w:ind w:left="8184" w:hanging="705"/>
      </w:pPr>
      <w:rPr>
        <w:rFonts w:hint="default"/>
        <w:lang w:val="zh-CN" w:eastAsia="zh-CN" w:bidi="zh-CN"/>
      </w:rPr>
    </w:lvl>
  </w:abstractNum>
  <w:abstractNum w:abstractNumId="22">
    <w:nsid w:val="3720E475"/>
    <w:multiLevelType w:val="singleLevel"/>
    <w:tmpl w:val="3720E475"/>
    <w:lvl w:ilvl="0" w:tentative="0">
      <w:start w:val="7"/>
      <w:numFmt w:val="chineseCounting"/>
      <w:suff w:val="nothing"/>
      <w:lvlText w:val="%1、"/>
      <w:lvlJc w:val="left"/>
      <w:rPr>
        <w:rFonts w:hint="eastAsia"/>
      </w:rPr>
    </w:lvl>
  </w:abstractNum>
  <w:abstractNum w:abstractNumId="23">
    <w:nsid w:val="3B8127DF"/>
    <w:multiLevelType w:val="multilevel"/>
    <w:tmpl w:val="3B8127DF"/>
    <w:lvl w:ilvl="0" w:tentative="0">
      <w:start w:val="10"/>
      <w:numFmt w:val="decimal"/>
      <w:lvlText w:val="%1"/>
      <w:lvlJc w:val="left"/>
      <w:pPr>
        <w:ind w:left="887" w:hanging="555"/>
      </w:pPr>
      <w:rPr>
        <w:rFonts w:hint="default"/>
        <w:lang w:val="zh-CN" w:eastAsia="zh-CN" w:bidi="zh-CN"/>
      </w:rPr>
    </w:lvl>
    <w:lvl w:ilvl="1" w:tentative="0">
      <w:start w:val="7"/>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146" w:hanging="771"/>
      </w:pPr>
      <w:rPr>
        <w:rFonts w:hint="default"/>
        <w:lang w:val="zh-CN" w:eastAsia="zh-CN" w:bidi="zh-CN"/>
      </w:rPr>
    </w:lvl>
    <w:lvl w:ilvl="4" w:tentative="0">
      <w:start w:val="0"/>
      <w:numFmt w:val="bullet"/>
      <w:lvlText w:val="•"/>
      <w:lvlJc w:val="left"/>
      <w:pPr>
        <w:ind w:left="4170" w:hanging="771"/>
      </w:pPr>
      <w:rPr>
        <w:rFonts w:hint="default"/>
        <w:lang w:val="zh-CN" w:eastAsia="zh-CN" w:bidi="zh-CN"/>
      </w:rPr>
    </w:lvl>
    <w:lvl w:ilvl="5" w:tentative="0">
      <w:start w:val="0"/>
      <w:numFmt w:val="bullet"/>
      <w:lvlText w:val="•"/>
      <w:lvlJc w:val="left"/>
      <w:pPr>
        <w:ind w:left="5193" w:hanging="771"/>
      </w:pPr>
      <w:rPr>
        <w:rFonts w:hint="default"/>
        <w:lang w:val="zh-CN" w:eastAsia="zh-CN" w:bidi="zh-CN"/>
      </w:rPr>
    </w:lvl>
    <w:lvl w:ilvl="6" w:tentative="0">
      <w:start w:val="0"/>
      <w:numFmt w:val="bullet"/>
      <w:lvlText w:val="•"/>
      <w:lvlJc w:val="left"/>
      <w:pPr>
        <w:ind w:left="6217" w:hanging="771"/>
      </w:pPr>
      <w:rPr>
        <w:rFonts w:hint="default"/>
        <w:lang w:val="zh-CN" w:eastAsia="zh-CN" w:bidi="zh-CN"/>
      </w:rPr>
    </w:lvl>
    <w:lvl w:ilvl="7" w:tentative="0">
      <w:start w:val="0"/>
      <w:numFmt w:val="bullet"/>
      <w:lvlText w:val="•"/>
      <w:lvlJc w:val="left"/>
      <w:pPr>
        <w:ind w:left="7240" w:hanging="771"/>
      </w:pPr>
      <w:rPr>
        <w:rFonts w:hint="default"/>
        <w:lang w:val="zh-CN" w:eastAsia="zh-CN" w:bidi="zh-CN"/>
      </w:rPr>
    </w:lvl>
    <w:lvl w:ilvl="8" w:tentative="0">
      <w:start w:val="0"/>
      <w:numFmt w:val="bullet"/>
      <w:lvlText w:val="•"/>
      <w:lvlJc w:val="left"/>
      <w:pPr>
        <w:ind w:left="8264" w:hanging="771"/>
      </w:pPr>
      <w:rPr>
        <w:rFonts w:hint="default"/>
        <w:lang w:val="zh-CN" w:eastAsia="zh-CN" w:bidi="zh-CN"/>
      </w:rPr>
    </w:lvl>
  </w:abstractNum>
  <w:abstractNum w:abstractNumId="24">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25">
    <w:nsid w:val="45ECF72F"/>
    <w:multiLevelType w:val="singleLevel"/>
    <w:tmpl w:val="45ECF72F"/>
    <w:lvl w:ilvl="0" w:tentative="0">
      <w:start w:val="10"/>
      <w:numFmt w:val="chineseCounting"/>
      <w:suff w:val="nothing"/>
      <w:lvlText w:val="%1、"/>
      <w:lvlJc w:val="left"/>
      <w:rPr>
        <w:rFonts w:hint="eastAsia" w:ascii="仿宋" w:hAnsi="仿宋" w:eastAsia="仿宋" w:cs="仿宋"/>
        <w:sz w:val="28"/>
        <w:szCs w:val="28"/>
      </w:rPr>
    </w:lvl>
  </w:abstractNum>
  <w:abstractNum w:abstractNumId="26">
    <w:nsid w:val="6544FEDA"/>
    <w:multiLevelType w:val="singleLevel"/>
    <w:tmpl w:val="6544FEDA"/>
    <w:lvl w:ilvl="0" w:tentative="0">
      <w:start w:val="4"/>
      <w:numFmt w:val="decimal"/>
      <w:suff w:val="nothing"/>
      <w:lvlText w:val="%1、"/>
      <w:lvlJc w:val="left"/>
    </w:lvl>
  </w:abstractNum>
  <w:abstractNum w:abstractNumId="27">
    <w:nsid w:val="77633216"/>
    <w:multiLevelType w:val="multilevel"/>
    <w:tmpl w:val="77633216"/>
    <w:lvl w:ilvl="0" w:tentative="0">
      <w:start w:val="13"/>
      <w:numFmt w:val="decimal"/>
      <w:lvlText w:val="%1"/>
      <w:lvlJc w:val="left"/>
      <w:pPr>
        <w:ind w:left="887" w:hanging="555"/>
      </w:pPr>
      <w:rPr>
        <w:rFonts w:hint="default"/>
        <w:lang w:val="zh-CN" w:eastAsia="zh-CN" w:bidi="zh-CN"/>
      </w:rPr>
    </w:lvl>
    <w:lvl w:ilvl="1" w:tentative="0">
      <w:start w:val="6"/>
      <w:numFmt w:val="decimal"/>
      <w:lvlText w:val="%1.%2"/>
      <w:lvlJc w:val="left"/>
      <w:pPr>
        <w:ind w:left="887" w:hanging="555"/>
      </w:pPr>
      <w:rPr>
        <w:rFonts w:hint="default" w:ascii="宋体" w:hAnsi="宋体" w:eastAsia="宋体" w:cs="宋体"/>
        <w:b/>
        <w:bCs/>
        <w:spacing w:val="-1"/>
        <w:w w:val="99"/>
        <w:sz w:val="22"/>
        <w:szCs w:val="22"/>
        <w:lang w:val="zh-CN" w:eastAsia="zh-CN" w:bidi="zh-CN"/>
      </w:rPr>
    </w:lvl>
    <w:lvl w:ilvl="2" w:tentative="0">
      <w:start w:val="1"/>
      <w:numFmt w:val="decimal"/>
      <w:lvlText w:val="%1.%2.%3"/>
      <w:lvlJc w:val="left"/>
      <w:pPr>
        <w:ind w:left="1103" w:hanging="77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3146" w:hanging="771"/>
      </w:pPr>
      <w:rPr>
        <w:rFonts w:hint="default"/>
        <w:lang w:val="zh-CN" w:eastAsia="zh-CN" w:bidi="zh-CN"/>
      </w:rPr>
    </w:lvl>
    <w:lvl w:ilvl="4" w:tentative="0">
      <w:start w:val="0"/>
      <w:numFmt w:val="bullet"/>
      <w:lvlText w:val="•"/>
      <w:lvlJc w:val="left"/>
      <w:pPr>
        <w:ind w:left="4170" w:hanging="771"/>
      </w:pPr>
      <w:rPr>
        <w:rFonts w:hint="default"/>
        <w:lang w:val="zh-CN" w:eastAsia="zh-CN" w:bidi="zh-CN"/>
      </w:rPr>
    </w:lvl>
    <w:lvl w:ilvl="5" w:tentative="0">
      <w:start w:val="0"/>
      <w:numFmt w:val="bullet"/>
      <w:lvlText w:val="•"/>
      <w:lvlJc w:val="left"/>
      <w:pPr>
        <w:ind w:left="5193" w:hanging="771"/>
      </w:pPr>
      <w:rPr>
        <w:rFonts w:hint="default"/>
        <w:lang w:val="zh-CN" w:eastAsia="zh-CN" w:bidi="zh-CN"/>
      </w:rPr>
    </w:lvl>
    <w:lvl w:ilvl="6" w:tentative="0">
      <w:start w:val="0"/>
      <w:numFmt w:val="bullet"/>
      <w:lvlText w:val="•"/>
      <w:lvlJc w:val="left"/>
      <w:pPr>
        <w:ind w:left="6217" w:hanging="771"/>
      </w:pPr>
      <w:rPr>
        <w:rFonts w:hint="default"/>
        <w:lang w:val="zh-CN" w:eastAsia="zh-CN" w:bidi="zh-CN"/>
      </w:rPr>
    </w:lvl>
    <w:lvl w:ilvl="7" w:tentative="0">
      <w:start w:val="0"/>
      <w:numFmt w:val="bullet"/>
      <w:lvlText w:val="•"/>
      <w:lvlJc w:val="left"/>
      <w:pPr>
        <w:ind w:left="7240" w:hanging="771"/>
      </w:pPr>
      <w:rPr>
        <w:rFonts w:hint="default"/>
        <w:lang w:val="zh-CN" w:eastAsia="zh-CN" w:bidi="zh-CN"/>
      </w:rPr>
    </w:lvl>
    <w:lvl w:ilvl="8" w:tentative="0">
      <w:start w:val="0"/>
      <w:numFmt w:val="bullet"/>
      <w:lvlText w:val="•"/>
      <w:lvlJc w:val="left"/>
      <w:pPr>
        <w:ind w:left="8264" w:hanging="771"/>
      </w:pPr>
      <w:rPr>
        <w:rFonts w:hint="default"/>
        <w:lang w:val="zh-CN" w:eastAsia="zh-CN" w:bidi="zh-CN"/>
      </w:rPr>
    </w:lvl>
  </w:abstractNum>
  <w:num w:numId="1">
    <w:abstractNumId w:val="20"/>
  </w:num>
  <w:num w:numId="2">
    <w:abstractNumId w:val="24"/>
  </w:num>
  <w:num w:numId="3">
    <w:abstractNumId w:val="16"/>
  </w:num>
  <w:num w:numId="4">
    <w:abstractNumId w:val="22"/>
  </w:num>
  <w:num w:numId="5">
    <w:abstractNumId w:val="15"/>
  </w:num>
  <w:num w:numId="6">
    <w:abstractNumId w:val="25"/>
  </w:num>
  <w:num w:numId="7">
    <w:abstractNumId w:val="0"/>
  </w:num>
  <w:num w:numId="8">
    <w:abstractNumId w:val="18"/>
  </w:num>
  <w:num w:numId="9">
    <w:abstractNumId w:val="13"/>
  </w:num>
  <w:num w:numId="10">
    <w:abstractNumId w:val="7"/>
  </w:num>
  <w:num w:numId="11">
    <w:abstractNumId w:val="9"/>
  </w:num>
  <w:num w:numId="12">
    <w:abstractNumId w:val="17"/>
  </w:num>
  <w:num w:numId="13">
    <w:abstractNumId w:val="21"/>
  </w:num>
  <w:num w:numId="14">
    <w:abstractNumId w:val="12"/>
  </w:num>
  <w:num w:numId="15">
    <w:abstractNumId w:val="5"/>
  </w:num>
  <w:num w:numId="16">
    <w:abstractNumId w:val="14"/>
  </w:num>
  <w:num w:numId="17">
    <w:abstractNumId w:val="4"/>
  </w:num>
  <w:num w:numId="18">
    <w:abstractNumId w:val="23"/>
  </w:num>
  <w:num w:numId="19">
    <w:abstractNumId w:val="10"/>
  </w:num>
  <w:num w:numId="20">
    <w:abstractNumId w:val="11"/>
  </w:num>
  <w:num w:numId="21">
    <w:abstractNumId w:val="6"/>
  </w:num>
  <w:num w:numId="22">
    <w:abstractNumId w:val="27"/>
  </w:num>
  <w:num w:numId="23">
    <w:abstractNumId w:val="8"/>
  </w:num>
  <w:num w:numId="24">
    <w:abstractNumId w:val="19"/>
  </w:num>
  <w:num w:numId="25">
    <w:abstractNumId w:val="3"/>
  </w:num>
  <w:num w:numId="26">
    <w:abstractNumId w:val="1"/>
  </w:num>
  <w:num w:numId="27">
    <w:abstractNumId w:val="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570FF"/>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152"/>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23"/>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795"/>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347"/>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5EFA"/>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042A2C"/>
    <w:rsid w:val="011E3D92"/>
    <w:rsid w:val="012C5FAF"/>
    <w:rsid w:val="014C790B"/>
    <w:rsid w:val="015772A4"/>
    <w:rsid w:val="016B4C5B"/>
    <w:rsid w:val="017B7436"/>
    <w:rsid w:val="0183453D"/>
    <w:rsid w:val="0194674A"/>
    <w:rsid w:val="019B3634"/>
    <w:rsid w:val="01A71FD9"/>
    <w:rsid w:val="01AF3D99"/>
    <w:rsid w:val="01E274B5"/>
    <w:rsid w:val="01E90844"/>
    <w:rsid w:val="02493090"/>
    <w:rsid w:val="02502671"/>
    <w:rsid w:val="02511F9D"/>
    <w:rsid w:val="0284056C"/>
    <w:rsid w:val="02A824AD"/>
    <w:rsid w:val="02AB400C"/>
    <w:rsid w:val="02C1531D"/>
    <w:rsid w:val="02C47780"/>
    <w:rsid w:val="02E659B2"/>
    <w:rsid w:val="032633D2"/>
    <w:rsid w:val="033B6E7D"/>
    <w:rsid w:val="035148F2"/>
    <w:rsid w:val="03572507"/>
    <w:rsid w:val="03685B3E"/>
    <w:rsid w:val="037B54CB"/>
    <w:rsid w:val="03800D34"/>
    <w:rsid w:val="039842CF"/>
    <w:rsid w:val="03A314B8"/>
    <w:rsid w:val="03AF0414"/>
    <w:rsid w:val="03D42E2E"/>
    <w:rsid w:val="03D8291E"/>
    <w:rsid w:val="03D82B98"/>
    <w:rsid w:val="03F83E8B"/>
    <w:rsid w:val="04174FEC"/>
    <w:rsid w:val="0422003D"/>
    <w:rsid w:val="04402271"/>
    <w:rsid w:val="04441D61"/>
    <w:rsid w:val="048E7480"/>
    <w:rsid w:val="049727D9"/>
    <w:rsid w:val="049D5915"/>
    <w:rsid w:val="049F51EA"/>
    <w:rsid w:val="04B62533"/>
    <w:rsid w:val="04B769D7"/>
    <w:rsid w:val="04BC08B4"/>
    <w:rsid w:val="04DA4474"/>
    <w:rsid w:val="04FA7A94"/>
    <w:rsid w:val="0523406D"/>
    <w:rsid w:val="053C7408"/>
    <w:rsid w:val="0553089C"/>
    <w:rsid w:val="05654685"/>
    <w:rsid w:val="05A0746B"/>
    <w:rsid w:val="05B51082"/>
    <w:rsid w:val="05C3315A"/>
    <w:rsid w:val="05C56868"/>
    <w:rsid w:val="05E008D0"/>
    <w:rsid w:val="05FD71D5"/>
    <w:rsid w:val="061A5470"/>
    <w:rsid w:val="0620235A"/>
    <w:rsid w:val="06345E06"/>
    <w:rsid w:val="063B3638"/>
    <w:rsid w:val="06426774"/>
    <w:rsid w:val="065D35AE"/>
    <w:rsid w:val="066761DB"/>
    <w:rsid w:val="066D2907"/>
    <w:rsid w:val="072E6CF9"/>
    <w:rsid w:val="074B3407"/>
    <w:rsid w:val="07801750"/>
    <w:rsid w:val="07832BA1"/>
    <w:rsid w:val="07A539BD"/>
    <w:rsid w:val="07B72767"/>
    <w:rsid w:val="07C531B9"/>
    <w:rsid w:val="08002443"/>
    <w:rsid w:val="08077E72"/>
    <w:rsid w:val="08273E74"/>
    <w:rsid w:val="08370010"/>
    <w:rsid w:val="084C5688"/>
    <w:rsid w:val="08646E76"/>
    <w:rsid w:val="0873541C"/>
    <w:rsid w:val="08882DD0"/>
    <w:rsid w:val="089E2932"/>
    <w:rsid w:val="089F1C5C"/>
    <w:rsid w:val="08C72F61"/>
    <w:rsid w:val="08DA0EE6"/>
    <w:rsid w:val="08DF474E"/>
    <w:rsid w:val="08F56748"/>
    <w:rsid w:val="09063A89"/>
    <w:rsid w:val="090E293E"/>
    <w:rsid w:val="092E2FE0"/>
    <w:rsid w:val="093700E7"/>
    <w:rsid w:val="093F1C24"/>
    <w:rsid w:val="09491BC8"/>
    <w:rsid w:val="0955056D"/>
    <w:rsid w:val="09811362"/>
    <w:rsid w:val="09816C5A"/>
    <w:rsid w:val="098B3F8E"/>
    <w:rsid w:val="09CB6A81"/>
    <w:rsid w:val="09CC2AAC"/>
    <w:rsid w:val="09D4008F"/>
    <w:rsid w:val="09DD13F2"/>
    <w:rsid w:val="0A3208AE"/>
    <w:rsid w:val="0A3D4FC3"/>
    <w:rsid w:val="0A4800D1"/>
    <w:rsid w:val="0A652D3E"/>
    <w:rsid w:val="0A6E5D8A"/>
    <w:rsid w:val="0A7F2398"/>
    <w:rsid w:val="0AA01CBB"/>
    <w:rsid w:val="0AB17507"/>
    <w:rsid w:val="0AC37758"/>
    <w:rsid w:val="0AC7549A"/>
    <w:rsid w:val="0AC97464"/>
    <w:rsid w:val="0B24469B"/>
    <w:rsid w:val="0B326F2A"/>
    <w:rsid w:val="0B464240"/>
    <w:rsid w:val="0B5D7BAD"/>
    <w:rsid w:val="0B756045"/>
    <w:rsid w:val="0B792C38"/>
    <w:rsid w:val="0B927856"/>
    <w:rsid w:val="0BBF43C3"/>
    <w:rsid w:val="0BC55E7E"/>
    <w:rsid w:val="0BD5530E"/>
    <w:rsid w:val="0BD95485"/>
    <w:rsid w:val="0BDE0CED"/>
    <w:rsid w:val="0BE856C8"/>
    <w:rsid w:val="0C1E2888"/>
    <w:rsid w:val="0C3B6140"/>
    <w:rsid w:val="0C741652"/>
    <w:rsid w:val="0C874EE1"/>
    <w:rsid w:val="0C92213C"/>
    <w:rsid w:val="0CAD246E"/>
    <w:rsid w:val="0CC2027E"/>
    <w:rsid w:val="0CCB0B67"/>
    <w:rsid w:val="0CD36378"/>
    <w:rsid w:val="0CE51C08"/>
    <w:rsid w:val="0CF54541"/>
    <w:rsid w:val="0D187EE2"/>
    <w:rsid w:val="0D222E5C"/>
    <w:rsid w:val="0D3818EF"/>
    <w:rsid w:val="0D6C65BC"/>
    <w:rsid w:val="0D7F5CC2"/>
    <w:rsid w:val="0D84032B"/>
    <w:rsid w:val="0D907DC5"/>
    <w:rsid w:val="0D9C30EB"/>
    <w:rsid w:val="0DA6583B"/>
    <w:rsid w:val="0DBA7538"/>
    <w:rsid w:val="0DCA353D"/>
    <w:rsid w:val="0DEE2D3E"/>
    <w:rsid w:val="0DF90060"/>
    <w:rsid w:val="0E1409F6"/>
    <w:rsid w:val="0E197DBB"/>
    <w:rsid w:val="0E211365"/>
    <w:rsid w:val="0E2C3DC4"/>
    <w:rsid w:val="0E4017EB"/>
    <w:rsid w:val="0E4532A6"/>
    <w:rsid w:val="0E752FF2"/>
    <w:rsid w:val="0E7E40C2"/>
    <w:rsid w:val="0EA31D7A"/>
    <w:rsid w:val="0EB75826"/>
    <w:rsid w:val="0EB83A78"/>
    <w:rsid w:val="0EBB792F"/>
    <w:rsid w:val="0ECD6DF7"/>
    <w:rsid w:val="0ED97690"/>
    <w:rsid w:val="0F1F58A5"/>
    <w:rsid w:val="0F2A74C4"/>
    <w:rsid w:val="0F4075C9"/>
    <w:rsid w:val="0F4672D5"/>
    <w:rsid w:val="0F5512C6"/>
    <w:rsid w:val="0F751969"/>
    <w:rsid w:val="0F955B67"/>
    <w:rsid w:val="0F9C1270"/>
    <w:rsid w:val="0FA30B04"/>
    <w:rsid w:val="0FCA5A2E"/>
    <w:rsid w:val="0FDA5C70"/>
    <w:rsid w:val="102A6DFC"/>
    <w:rsid w:val="10466E61"/>
    <w:rsid w:val="104D0D37"/>
    <w:rsid w:val="105E051F"/>
    <w:rsid w:val="10645539"/>
    <w:rsid w:val="108871F8"/>
    <w:rsid w:val="10A25F15"/>
    <w:rsid w:val="10A27F31"/>
    <w:rsid w:val="10BB15FD"/>
    <w:rsid w:val="10CA5CE4"/>
    <w:rsid w:val="10D4446D"/>
    <w:rsid w:val="10D85A9E"/>
    <w:rsid w:val="111F7DDE"/>
    <w:rsid w:val="112F1BCF"/>
    <w:rsid w:val="11360C84"/>
    <w:rsid w:val="11927058"/>
    <w:rsid w:val="11B5429E"/>
    <w:rsid w:val="11BA3663"/>
    <w:rsid w:val="11BF336F"/>
    <w:rsid w:val="11C64F77"/>
    <w:rsid w:val="120E171E"/>
    <w:rsid w:val="12283BA0"/>
    <w:rsid w:val="12384497"/>
    <w:rsid w:val="123A2F08"/>
    <w:rsid w:val="124E024F"/>
    <w:rsid w:val="124F64A1"/>
    <w:rsid w:val="12635AA8"/>
    <w:rsid w:val="12977E48"/>
    <w:rsid w:val="12B565C6"/>
    <w:rsid w:val="12BB3514"/>
    <w:rsid w:val="12C80001"/>
    <w:rsid w:val="12D13D49"/>
    <w:rsid w:val="131E40C5"/>
    <w:rsid w:val="13405DEA"/>
    <w:rsid w:val="135E2714"/>
    <w:rsid w:val="137311EF"/>
    <w:rsid w:val="13844E86"/>
    <w:rsid w:val="13985C26"/>
    <w:rsid w:val="13AF4F03"/>
    <w:rsid w:val="13B0790B"/>
    <w:rsid w:val="13C75315"/>
    <w:rsid w:val="13EE3A98"/>
    <w:rsid w:val="144564E2"/>
    <w:rsid w:val="144B713C"/>
    <w:rsid w:val="14531B4D"/>
    <w:rsid w:val="14541A21"/>
    <w:rsid w:val="14736E66"/>
    <w:rsid w:val="14795EEB"/>
    <w:rsid w:val="147F458F"/>
    <w:rsid w:val="14FE5F5C"/>
    <w:rsid w:val="1529799F"/>
    <w:rsid w:val="152C0FBD"/>
    <w:rsid w:val="1534169A"/>
    <w:rsid w:val="15395952"/>
    <w:rsid w:val="154F5132"/>
    <w:rsid w:val="155212B7"/>
    <w:rsid w:val="15687343"/>
    <w:rsid w:val="15892C2E"/>
    <w:rsid w:val="15A24B3A"/>
    <w:rsid w:val="15AC7766"/>
    <w:rsid w:val="15B66837"/>
    <w:rsid w:val="15C03E03"/>
    <w:rsid w:val="15D8055B"/>
    <w:rsid w:val="15E909BB"/>
    <w:rsid w:val="15FD6214"/>
    <w:rsid w:val="15FE40E3"/>
    <w:rsid w:val="160C6457"/>
    <w:rsid w:val="162A25EB"/>
    <w:rsid w:val="16353C00"/>
    <w:rsid w:val="163D191F"/>
    <w:rsid w:val="165B2F3A"/>
    <w:rsid w:val="16735895"/>
    <w:rsid w:val="167504A0"/>
    <w:rsid w:val="16895CFA"/>
    <w:rsid w:val="16C32FBA"/>
    <w:rsid w:val="16C3745D"/>
    <w:rsid w:val="16F65939"/>
    <w:rsid w:val="16FD2A55"/>
    <w:rsid w:val="17045380"/>
    <w:rsid w:val="17067C1A"/>
    <w:rsid w:val="17072BD0"/>
    <w:rsid w:val="17161424"/>
    <w:rsid w:val="17312619"/>
    <w:rsid w:val="17366761"/>
    <w:rsid w:val="17385AB5"/>
    <w:rsid w:val="174165D4"/>
    <w:rsid w:val="1752433D"/>
    <w:rsid w:val="175E59AD"/>
    <w:rsid w:val="177C01F0"/>
    <w:rsid w:val="179E3EFA"/>
    <w:rsid w:val="17C34B7C"/>
    <w:rsid w:val="17CE6630"/>
    <w:rsid w:val="182B350C"/>
    <w:rsid w:val="18324601"/>
    <w:rsid w:val="186333C7"/>
    <w:rsid w:val="18952734"/>
    <w:rsid w:val="18A22F13"/>
    <w:rsid w:val="18B057C0"/>
    <w:rsid w:val="18C94AD3"/>
    <w:rsid w:val="18D63184"/>
    <w:rsid w:val="18F27B86"/>
    <w:rsid w:val="1901601B"/>
    <w:rsid w:val="190478B9"/>
    <w:rsid w:val="19061883"/>
    <w:rsid w:val="1921046B"/>
    <w:rsid w:val="192835A8"/>
    <w:rsid w:val="193B75B9"/>
    <w:rsid w:val="19467ED2"/>
    <w:rsid w:val="19495225"/>
    <w:rsid w:val="194A1770"/>
    <w:rsid w:val="197639DB"/>
    <w:rsid w:val="199E7D0E"/>
    <w:rsid w:val="19D674A8"/>
    <w:rsid w:val="1A177AC0"/>
    <w:rsid w:val="1A18186E"/>
    <w:rsid w:val="1A46462D"/>
    <w:rsid w:val="1A4C59BC"/>
    <w:rsid w:val="1A590792"/>
    <w:rsid w:val="1A5F7D16"/>
    <w:rsid w:val="1A7673F8"/>
    <w:rsid w:val="1A7A6085"/>
    <w:rsid w:val="1A8150C9"/>
    <w:rsid w:val="1A9B62DD"/>
    <w:rsid w:val="1AB31597"/>
    <w:rsid w:val="1ADF72F8"/>
    <w:rsid w:val="1AE300CE"/>
    <w:rsid w:val="1AFF0AFE"/>
    <w:rsid w:val="1B23671D"/>
    <w:rsid w:val="1B2A7AAB"/>
    <w:rsid w:val="1B3B1CB8"/>
    <w:rsid w:val="1B4F19F8"/>
    <w:rsid w:val="1B5E7755"/>
    <w:rsid w:val="1BD01CD5"/>
    <w:rsid w:val="1BD81872"/>
    <w:rsid w:val="1BFE4A94"/>
    <w:rsid w:val="1BFE5C7A"/>
    <w:rsid w:val="1C157AA4"/>
    <w:rsid w:val="1C370CEF"/>
    <w:rsid w:val="1C4526C3"/>
    <w:rsid w:val="1C4E5A1B"/>
    <w:rsid w:val="1C7F5BD5"/>
    <w:rsid w:val="1C8036FB"/>
    <w:rsid w:val="1C8256C5"/>
    <w:rsid w:val="1C844F99"/>
    <w:rsid w:val="1C9F6277"/>
    <w:rsid w:val="1CAB69CA"/>
    <w:rsid w:val="1CCE090A"/>
    <w:rsid w:val="1CDA105D"/>
    <w:rsid w:val="1D0436A1"/>
    <w:rsid w:val="1D2E13A9"/>
    <w:rsid w:val="1D5C1A72"/>
    <w:rsid w:val="1D6D3C5B"/>
    <w:rsid w:val="1D752B34"/>
    <w:rsid w:val="1DA33B45"/>
    <w:rsid w:val="1DC51D0D"/>
    <w:rsid w:val="1DC75A85"/>
    <w:rsid w:val="1DCB4E4A"/>
    <w:rsid w:val="1DD67A76"/>
    <w:rsid w:val="1DF443A0"/>
    <w:rsid w:val="1E072487"/>
    <w:rsid w:val="1E2F53D8"/>
    <w:rsid w:val="1E3649B9"/>
    <w:rsid w:val="1E94348E"/>
    <w:rsid w:val="1EC21DA9"/>
    <w:rsid w:val="1ECA4BA0"/>
    <w:rsid w:val="1ECC44FA"/>
    <w:rsid w:val="1EE833D9"/>
    <w:rsid w:val="1EED0876"/>
    <w:rsid w:val="1F063325"/>
    <w:rsid w:val="1F2962CC"/>
    <w:rsid w:val="1F52138B"/>
    <w:rsid w:val="1F707A57"/>
    <w:rsid w:val="1F71101F"/>
    <w:rsid w:val="1F7B62F4"/>
    <w:rsid w:val="1F86727A"/>
    <w:rsid w:val="1F987059"/>
    <w:rsid w:val="1FAB0A8F"/>
    <w:rsid w:val="1FAB6CE1"/>
    <w:rsid w:val="1FBC5DF5"/>
    <w:rsid w:val="1FBF453A"/>
    <w:rsid w:val="1FC16504"/>
    <w:rsid w:val="1FD91AA0"/>
    <w:rsid w:val="1FEA6019"/>
    <w:rsid w:val="1FF468DA"/>
    <w:rsid w:val="1FF90588"/>
    <w:rsid w:val="1FFC578E"/>
    <w:rsid w:val="20232D1B"/>
    <w:rsid w:val="20390790"/>
    <w:rsid w:val="204B0952"/>
    <w:rsid w:val="208A5AAD"/>
    <w:rsid w:val="20A21E92"/>
    <w:rsid w:val="20A91472"/>
    <w:rsid w:val="20AA51EA"/>
    <w:rsid w:val="20AE6A88"/>
    <w:rsid w:val="20C3623F"/>
    <w:rsid w:val="20C77B4A"/>
    <w:rsid w:val="20EB1A8B"/>
    <w:rsid w:val="21044D53"/>
    <w:rsid w:val="21050673"/>
    <w:rsid w:val="21076199"/>
    <w:rsid w:val="211B39F2"/>
    <w:rsid w:val="21267592"/>
    <w:rsid w:val="216435EB"/>
    <w:rsid w:val="216655B5"/>
    <w:rsid w:val="21780E44"/>
    <w:rsid w:val="21781212"/>
    <w:rsid w:val="21845A3B"/>
    <w:rsid w:val="21AB746C"/>
    <w:rsid w:val="21B83F86"/>
    <w:rsid w:val="21BE719F"/>
    <w:rsid w:val="21C319CB"/>
    <w:rsid w:val="21D818E3"/>
    <w:rsid w:val="220E0DA4"/>
    <w:rsid w:val="221178A8"/>
    <w:rsid w:val="221213CF"/>
    <w:rsid w:val="2217065D"/>
    <w:rsid w:val="22327A92"/>
    <w:rsid w:val="22561186"/>
    <w:rsid w:val="22635651"/>
    <w:rsid w:val="226E5D01"/>
    <w:rsid w:val="227B6E3E"/>
    <w:rsid w:val="228757E3"/>
    <w:rsid w:val="22A04AF7"/>
    <w:rsid w:val="22A55C69"/>
    <w:rsid w:val="230A1F70"/>
    <w:rsid w:val="23144B9D"/>
    <w:rsid w:val="231D53A2"/>
    <w:rsid w:val="23244DE0"/>
    <w:rsid w:val="23353491"/>
    <w:rsid w:val="23657D18"/>
    <w:rsid w:val="236D5383"/>
    <w:rsid w:val="237044C9"/>
    <w:rsid w:val="23751ADF"/>
    <w:rsid w:val="239C690A"/>
    <w:rsid w:val="23A91789"/>
    <w:rsid w:val="23B7504C"/>
    <w:rsid w:val="23D507D0"/>
    <w:rsid w:val="23E9602A"/>
    <w:rsid w:val="24194B61"/>
    <w:rsid w:val="244F02A8"/>
    <w:rsid w:val="24507029"/>
    <w:rsid w:val="24571307"/>
    <w:rsid w:val="245E4322"/>
    <w:rsid w:val="24637B8A"/>
    <w:rsid w:val="24AD03CE"/>
    <w:rsid w:val="24B4750C"/>
    <w:rsid w:val="24C769E0"/>
    <w:rsid w:val="25110A2A"/>
    <w:rsid w:val="251F513A"/>
    <w:rsid w:val="256C0944"/>
    <w:rsid w:val="258B7398"/>
    <w:rsid w:val="25A42208"/>
    <w:rsid w:val="25C60ECD"/>
    <w:rsid w:val="25D52D09"/>
    <w:rsid w:val="25D868E2"/>
    <w:rsid w:val="25E76EA7"/>
    <w:rsid w:val="25FD5DBC"/>
    <w:rsid w:val="260929B3"/>
    <w:rsid w:val="26105AEF"/>
    <w:rsid w:val="26151358"/>
    <w:rsid w:val="261F3F85"/>
    <w:rsid w:val="26414229"/>
    <w:rsid w:val="26415CA9"/>
    <w:rsid w:val="26446DE3"/>
    <w:rsid w:val="2670658E"/>
    <w:rsid w:val="26877DFE"/>
    <w:rsid w:val="269669E7"/>
    <w:rsid w:val="26A270C1"/>
    <w:rsid w:val="26A650A8"/>
    <w:rsid w:val="26B96187"/>
    <w:rsid w:val="26D7699F"/>
    <w:rsid w:val="26F251F5"/>
    <w:rsid w:val="27135897"/>
    <w:rsid w:val="27384086"/>
    <w:rsid w:val="273B78D5"/>
    <w:rsid w:val="275B2D9A"/>
    <w:rsid w:val="27753D15"/>
    <w:rsid w:val="27897907"/>
    <w:rsid w:val="27B25628"/>
    <w:rsid w:val="27C272BD"/>
    <w:rsid w:val="27D25752"/>
    <w:rsid w:val="27DD5EA5"/>
    <w:rsid w:val="28332EE1"/>
    <w:rsid w:val="28355CE1"/>
    <w:rsid w:val="28481571"/>
    <w:rsid w:val="28757E8C"/>
    <w:rsid w:val="28887BBF"/>
    <w:rsid w:val="28903681"/>
    <w:rsid w:val="28B46C06"/>
    <w:rsid w:val="28D15A0A"/>
    <w:rsid w:val="28DC43AF"/>
    <w:rsid w:val="28E13773"/>
    <w:rsid w:val="28F74D45"/>
    <w:rsid w:val="29325D7D"/>
    <w:rsid w:val="29357E48"/>
    <w:rsid w:val="29455AB0"/>
    <w:rsid w:val="295E6B72"/>
    <w:rsid w:val="296144DC"/>
    <w:rsid w:val="2964687E"/>
    <w:rsid w:val="29884C1E"/>
    <w:rsid w:val="298A36D3"/>
    <w:rsid w:val="29921E65"/>
    <w:rsid w:val="299B1B74"/>
    <w:rsid w:val="29A273A6"/>
    <w:rsid w:val="29B11398"/>
    <w:rsid w:val="29C70BBB"/>
    <w:rsid w:val="29C837D8"/>
    <w:rsid w:val="29CE1F49"/>
    <w:rsid w:val="29D75F7F"/>
    <w:rsid w:val="29DA6B40"/>
    <w:rsid w:val="2A1D6A2D"/>
    <w:rsid w:val="2A584AE7"/>
    <w:rsid w:val="2A750617"/>
    <w:rsid w:val="2A7A79DB"/>
    <w:rsid w:val="2A7A7B94"/>
    <w:rsid w:val="2A7C7BF7"/>
    <w:rsid w:val="2A9C2048"/>
    <w:rsid w:val="2ACF7D27"/>
    <w:rsid w:val="2ADD64AC"/>
    <w:rsid w:val="2ADE440E"/>
    <w:rsid w:val="2AE5579D"/>
    <w:rsid w:val="2AE5754B"/>
    <w:rsid w:val="2AE82B97"/>
    <w:rsid w:val="2AE9690F"/>
    <w:rsid w:val="2B155786"/>
    <w:rsid w:val="2B1A4D1A"/>
    <w:rsid w:val="2B34402E"/>
    <w:rsid w:val="2B774624"/>
    <w:rsid w:val="2B7D203A"/>
    <w:rsid w:val="2B801021"/>
    <w:rsid w:val="2BA97097"/>
    <w:rsid w:val="2BB67139"/>
    <w:rsid w:val="2C016606"/>
    <w:rsid w:val="2C3818FC"/>
    <w:rsid w:val="2C5512FE"/>
    <w:rsid w:val="2C570F10"/>
    <w:rsid w:val="2C646B95"/>
    <w:rsid w:val="2C7A72BE"/>
    <w:rsid w:val="2C7D37B3"/>
    <w:rsid w:val="2C9A7D75"/>
    <w:rsid w:val="2C9B57FA"/>
    <w:rsid w:val="2CA20917"/>
    <w:rsid w:val="2CC17412"/>
    <w:rsid w:val="2CCB09C2"/>
    <w:rsid w:val="2D1063D5"/>
    <w:rsid w:val="2D12214D"/>
    <w:rsid w:val="2D1E1DBD"/>
    <w:rsid w:val="2D4A7B39"/>
    <w:rsid w:val="2D7C1E99"/>
    <w:rsid w:val="2D8B625E"/>
    <w:rsid w:val="2DB640F0"/>
    <w:rsid w:val="2DBB27E5"/>
    <w:rsid w:val="2E0917A2"/>
    <w:rsid w:val="2E0C4DEE"/>
    <w:rsid w:val="2E261C16"/>
    <w:rsid w:val="2E2B796A"/>
    <w:rsid w:val="2E61338C"/>
    <w:rsid w:val="2E9976CE"/>
    <w:rsid w:val="2EB07E70"/>
    <w:rsid w:val="2EF01DEE"/>
    <w:rsid w:val="2F0700AB"/>
    <w:rsid w:val="2F0D2273"/>
    <w:rsid w:val="2F1877C3"/>
    <w:rsid w:val="2F30259E"/>
    <w:rsid w:val="2F3E7229"/>
    <w:rsid w:val="2F401D3C"/>
    <w:rsid w:val="2F5B24E1"/>
    <w:rsid w:val="2F860BD0"/>
    <w:rsid w:val="2F9E416C"/>
    <w:rsid w:val="2FA95C88"/>
    <w:rsid w:val="2FC17E5A"/>
    <w:rsid w:val="2FCA6D0F"/>
    <w:rsid w:val="2FE222AB"/>
    <w:rsid w:val="2FEF6776"/>
    <w:rsid w:val="30087837"/>
    <w:rsid w:val="301D32E3"/>
    <w:rsid w:val="30226B4B"/>
    <w:rsid w:val="302D729E"/>
    <w:rsid w:val="3041370F"/>
    <w:rsid w:val="30B87FED"/>
    <w:rsid w:val="30D00355"/>
    <w:rsid w:val="30DF2C8E"/>
    <w:rsid w:val="30F71D86"/>
    <w:rsid w:val="30FA5E8E"/>
    <w:rsid w:val="312B50A3"/>
    <w:rsid w:val="317909ED"/>
    <w:rsid w:val="31894FD2"/>
    <w:rsid w:val="318D4498"/>
    <w:rsid w:val="31943A79"/>
    <w:rsid w:val="319C0B7F"/>
    <w:rsid w:val="319E4903"/>
    <w:rsid w:val="31AB03AE"/>
    <w:rsid w:val="31EA0A18"/>
    <w:rsid w:val="320209E2"/>
    <w:rsid w:val="32403944"/>
    <w:rsid w:val="32453A27"/>
    <w:rsid w:val="324E1E79"/>
    <w:rsid w:val="3263064A"/>
    <w:rsid w:val="32904240"/>
    <w:rsid w:val="329B0E37"/>
    <w:rsid w:val="32A23F73"/>
    <w:rsid w:val="32A43132"/>
    <w:rsid w:val="32A520FC"/>
    <w:rsid w:val="32AC0C06"/>
    <w:rsid w:val="32BD0DAD"/>
    <w:rsid w:val="32C51A10"/>
    <w:rsid w:val="330C5088"/>
    <w:rsid w:val="331A1D5C"/>
    <w:rsid w:val="33233306"/>
    <w:rsid w:val="33344EF5"/>
    <w:rsid w:val="333948D8"/>
    <w:rsid w:val="333D5A4A"/>
    <w:rsid w:val="3381002D"/>
    <w:rsid w:val="338A1BCF"/>
    <w:rsid w:val="33A67A93"/>
    <w:rsid w:val="33AF6948"/>
    <w:rsid w:val="33B57215"/>
    <w:rsid w:val="33BE4DDD"/>
    <w:rsid w:val="33C06DA7"/>
    <w:rsid w:val="33E0539A"/>
    <w:rsid w:val="33E13CCF"/>
    <w:rsid w:val="3411315F"/>
    <w:rsid w:val="344A48C2"/>
    <w:rsid w:val="34A2025B"/>
    <w:rsid w:val="34A57D4B"/>
    <w:rsid w:val="34C74165"/>
    <w:rsid w:val="34CA5422"/>
    <w:rsid w:val="34CA77B1"/>
    <w:rsid w:val="35020CF9"/>
    <w:rsid w:val="35301161"/>
    <w:rsid w:val="3537750C"/>
    <w:rsid w:val="3537798C"/>
    <w:rsid w:val="35431A3E"/>
    <w:rsid w:val="354B41CA"/>
    <w:rsid w:val="35AF0E81"/>
    <w:rsid w:val="35C13FC9"/>
    <w:rsid w:val="35D408E8"/>
    <w:rsid w:val="35F20D6E"/>
    <w:rsid w:val="35FF41CE"/>
    <w:rsid w:val="36372B05"/>
    <w:rsid w:val="364257B6"/>
    <w:rsid w:val="36625EF3"/>
    <w:rsid w:val="366A2FFA"/>
    <w:rsid w:val="366B1100"/>
    <w:rsid w:val="3679148F"/>
    <w:rsid w:val="368E4F3A"/>
    <w:rsid w:val="3694469A"/>
    <w:rsid w:val="36A06C35"/>
    <w:rsid w:val="36E55C49"/>
    <w:rsid w:val="36F71FBF"/>
    <w:rsid w:val="36FD5C1C"/>
    <w:rsid w:val="37014501"/>
    <w:rsid w:val="37166CDE"/>
    <w:rsid w:val="374675C3"/>
    <w:rsid w:val="37884128"/>
    <w:rsid w:val="37904CE2"/>
    <w:rsid w:val="37D921E5"/>
    <w:rsid w:val="37EA5922"/>
    <w:rsid w:val="37EC38F1"/>
    <w:rsid w:val="380B4369"/>
    <w:rsid w:val="38276B93"/>
    <w:rsid w:val="382947EF"/>
    <w:rsid w:val="382E58B8"/>
    <w:rsid w:val="38325D99"/>
    <w:rsid w:val="38404012"/>
    <w:rsid w:val="38683569"/>
    <w:rsid w:val="387E2D8D"/>
    <w:rsid w:val="38AC3431"/>
    <w:rsid w:val="38AF50D0"/>
    <w:rsid w:val="38B4055C"/>
    <w:rsid w:val="38B95B73"/>
    <w:rsid w:val="38E250CA"/>
    <w:rsid w:val="39085692"/>
    <w:rsid w:val="392F2E16"/>
    <w:rsid w:val="394C4C39"/>
    <w:rsid w:val="396957EB"/>
    <w:rsid w:val="399321EE"/>
    <w:rsid w:val="39A31D4E"/>
    <w:rsid w:val="39B50A30"/>
    <w:rsid w:val="39C24EFB"/>
    <w:rsid w:val="39C944DB"/>
    <w:rsid w:val="39E00529"/>
    <w:rsid w:val="39EC3D26"/>
    <w:rsid w:val="3A0B64A7"/>
    <w:rsid w:val="3A233BEC"/>
    <w:rsid w:val="3A2F2590"/>
    <w:rsid w:val="3A3A7985"/>
    <w:rsid w:val="3A3C0CF7"/>
    <w:rsid w:val="3A574DDA"/>
    <w:rsid w:val="3A970136"/>
    <w:rsid w:val="3ACD1DA9"/>
    <w:rsid w:val="3AD030D5"/>
    <w:rsid w:val="3AD3075A"/>
    <w:rsid w:val="3ADD1FEC"/>
    <w:rsid w:val="3AE27603"/>
    <w:rsid w:val="3AE55345"/>
    <w:rsid w:val="3AE72E6B"/>
    <w:rsid w:val="3AEA64B7"/>
    <w:rsid w:val="3AF74C02"/>
    <w:rsid w:val="3AF92038"/>
    <w:rsid w:val="3B146A06"/>
    <w:rsid w:val="3B1654FE"/>
    <w:rsid w:val="3B273268"/>
    <w:rsid w:val="3B3F2CA7"/>
    <w:rsid w:val="3B4E6A46"/>
    <w:rsid w:val="3B5878C5"/>
    <w:rsid w:val="3B6C15C2"/>
    <w:rsid w:val="3BBF7944"/>
    <w:rsid w:val="3BC1190E"/>
    <w:rsid w:val="3BC91289"/>
    <w:rsid w:val="3BD553B9"/>
    <w:rsid w:val="3BF515B8"/>
    <w:rsid w:val="3C0059A5"/>
    <w:rsid w:val="3C020032"/>
    <w:rsid w:val="3C0C233A"/>
    <w:rsid w:val="3C134E78"/>
    <w:rsid w:val="3C335C3C"/>
    <w:rsid w:val="3C634773"/>
    <w:rsid w:val="3C8769C5"/>
    <w:rsid w:val="3C8A61A4"/>
    <w:rsid w:val="3C9B0683"/>
    <w:rsid w:val="3CA60B04"/>
    <w:rsid w:val="3CD25455"/>
    <w:rsid w:val="3CE55188"/>
    <w:rsid w:val="3CF0178F"/>
    <w:rsid w:val="3D0221DE"/>
    <w:rsid w:val="3D271C45"/>
    <w:rsid w:val="3D4F2F4A"/>
    <w:rsid w:val="3D583BAC"/>
    <w:rsid w:val="3D94095C"/>
    <w:rsid w:val="3DA0781E"/>
    <w:rsid w:val="3DE47B36"/>
    <w:rsid w:val="3DF15DAF"/>
    <w:rsid w:val="3DF6345D"/>
    <w:rsid w:val="3E0378A7"/>
    <w:rsid w:val="3E1201FF"/>
    <w:rsid w:val="3E2B5515"/>
    <w:rsid w:val="3E3A388A"/>
    <w:rsid w:val="3E4203B8"/>
    <w:rsid w:val="3E4D4F28"/>
    <w:rsid w:val="3E502AD5"/>
    <w:rsid w:val="3E5527E2"/>
    <w:rsid w:val="3E5C76CC"/>
    <w:rsid w:val="3E5F0F6A"/>
    <w:rsid w:val="3E5F1618"/>
    <w:rsid w:val="3EA11583"/>
    <w:rsid w:val="3ED92EC4"/>
    <w:rsid w:val="3EE13701"/>
    <w:rsid w:val="3EF1250A"/>
    <w:rsid w:val="3EF26D09"/>
    <w:rsid w:val="3F06588A"/>
    <w:rsid w:val="3F1A4BB3"/>
    <w:rsid w:val="3F214472"/>
    <w:rsid w:val="3F3F333C"/>
    <w:rsid w:val="3F4A1C1A"/>
    <w:rsid w:val="3FA72BC9"/>
    <w:rsid w:val="3FAE3EA9"/>
    <w:rsid w:val="3FC419CD"/>
    <w:rsid w:val="3FCC262F"/>
    <w:rsid w:val="4004626D"/>
    <w:rsid w:val="40192BA6"/>
    <w:rsid w:val="402915B2"/>
    <w:rsid w:val="40880C4C"/>
    <w:rsid w:val="40907B01"/>
    <w:rsid w:val="40A07DEE"/>
    <w:rsid w:val="40C33A32"/>
    <w:rsid w:val="40FB141E"/>
    <w:rsid w:val="412B15D8"/>
    <w:rsid w:val="41436921"/>
    <w:rsid w:val="414C1C7A"/>
    <w:rsid w:val="415118B0"/>
    <w:rsid w:val="415B658A"/>
    <w:rsid w:val="4162149D"/>
    <w:rsid w:val="41670862"/>
    <w:rsid w:val="41686388"/>
    <w:rsid w:val="41766EA9"/>
    <w:rsid w:val="41803404"/>
    <w:rsid w:val="41870F04"/>
    <w:rsid w:val="419A2DBD"/>
    <w:rsid w:val="419E3C7A"/>
    <w:rsid w:val="41EF2605"/>
    <w:rsid w:val="42010CB6"/>
    <w:rsid w:val="420A5094"/>
    <w:rsid w:val="42141590"/>
    <w:rsid w:val="422229DB"/>
    <w:rsid w:val="42295B17"/>
    <w:rsid w:val="42550A18"/>
    <w:rsid w:val="42571F3E"/>
    <w:rsid w:val="42642FF3"/>
    <w:rsid w:val="42707BEA"/>
    <w:rsid w:val="42721F4D"/>
    <w:rsid w:val="42861B49"/>
    <w:rsid w:val="429D496A"/>
    <w:rsid w:val="42BF46CD"/>
    <w:rsid w:val="42F473A1"/>
    <w:rsid w:val="42F8373B"/>
    <w:rsid w:val="43326C4D"/>
    <w:rsid w:val="433A3D54"/>
    <w:rsid w:val="434946D8"/>
    <w:rsid w:val="435B2648"/>
    <w:rsid w:val="436037BB"/>
    <w:rsid w:val="43707776"/>
    <w:rsid w:val="437217EA"/>
    <w:rsid w:val="437E6337"/>
    <w:rsid w:val="43A833B4"/>
    <w:rsid w:val="43AB7156"/>
    <w:rsid w:val="43C33D49"/>
    <w:rsid w:val="43D83C99"/>
    <w:rsid w:val="43FF60DE"/>
    <w:rsid w:val="44055F4E"/>
    <w:rsid w:val="440C2D48"/>
    <w:rsid w:val="441E62C0"/>
    <w:rsid w:val="4420119C"/>
    <w:rsid w:val="44314938"/>
    <w:rsid w:val="446A2417"/>
    <w:rsid w:val="44BC0EC5"/>
    <w:rsid w:val="44DE52DF"/>
    <w:rsid w:val="44EC0F3D"/>
    <w:rsid w:val="44F908BF"/>
    <w:rsid w:val="451F1453"/>
    <w:rsid w:val="45244CBC"/>
    <w:rsid w:val="453252BD"/>
    <w:rsid w:val="45325D14"/>
    <w:rsid w:val="453F5652"/>
    <w:rsid w:val="45575091"/>
    <w:rsid w:val="45603F46"/>
    <w:rsid w:val="45717DCF"/>
    <w:rsid w:val="45811C7C"/>
    <w:rsid w:val="45906116"/>
    <w:rsid w:val="45931B8C"/>
    <w:rsid w:val="45A115DB"/>
    <w:rsid w:val="45BC6CA2"/>
    <w:rsid w:val="45D87F80"/>
    <w:rsid w:val="45DB42AF"/>
    <w:rsid w:val="45EF2552"/>
    <w:rsid w:val="46230DFA"/>
    <w:rsid w:val="464F1A25"/>
    <w:rsid w:val="4669507C"/>
    <w:rsid w:val="46861DC9"/>
    <w:rsid w:val="468B3EFB"/>
    <w:rsid w:val="46D83FB0"/>
    <w:rsid w:val="46DA7FD3"/>
    <w:rsid w:val="46DF6973"/>
    <w:rsid w:val="470A6193"/>
    <w:rsid w:val="472B2331"/>
    <w:rsid w:val="472F4467"/>
    <w:rsid w:val="47385210"/>
    <w:rsid w:val="475510F8"/>
    <w:rsid w:val="4766336A"/>
    <w:rsid w:val="477737C9"/>
    <w:rsid w:val="477819B9"/>
    <w:rsid w:val="477E4B57"/>
    <w:rsid w:val="478A34FC"/>
    <w:rsid w:val="47B718AD"/>
    <w:rsid w:val="47D46525"/>
    <w:rsid w:val="47DC4F5C"/>
    <w:rsid w:val="47E30E5E"/>
    <w:rsid w:val="47EF15B1"/>
    <w:rsid w:val="481E3C44"/>
    <w:rsid w:val="48313978"/>
    <w:rsid w:val="48357040"/>
    <w:rsid w:val="483A1B85"/>
    <w:rsid w:val="485853A8"/>
    <w:rsid w:val="4860425D"/>
    <w:rsid w:val="4867383D"/>
    <w:rsid w:val="48695961"/>
    <w:rsid w:val="486C2C02"/>
    <w:rsid w:val="486F44A0"/>
    <w:rsid w:val="489857A5"/>
    <w:rsid w:val="489D2DBB"/>
    <w:rsid w:val="48A506E3"/>
    <w:rsid w:val="48B40671"/>
    <w:rsid w:val="48C269A2"/>
    <w:rsid w:val="48D57812"/>
    <w:rsid w:val="48D70B19"/>
    <w:rsid w:val="48EC789E"/>
    <w:rsid w:val="48F36E7F"/>
    <w:rsid w:val="495E079C"/>
    <w:rsid w:val="497A68D1"/>
    <w:rsid w:val="499441BE"/>
    <w:rsid w:val="499B5738"/>
    <w:rsid w:val="499F244D"/>
    <w:rsid w:val="49DE368B"/>
    <w:rsid w:val="4A050C18"/>
    <w:rsid w:val="4A58343D"/>
    <w:rsid w:val="4A971AD0"/>
    <w:rsid w:val="4A973F3F"/>
    <w:rsid w:val="4AA3304D"/>
    <w:rsid w:val="4AD60806"/>
    <w:rsid w:val="4AD66A58"/>
    <w:rsid w:val="4AE178D7"/>
    <w:rsid w:val="4AE50A49"/>
    <w:rsid w:val="4AF33166"/>
    <w:rsid w:val="4AF96BC7"/>
    <w:rsid w:val="4B0C247A"/>
    <w:rsid w:val="4B16190E"/>
    <w:rsid w:val="4B26353C"/>
    <w:rsid w:val="4B315A3D"/>
    <w:rsid w:val="4B410375"/>
    <w:rsid w:val="4B5C125C"/>
    <w:rsid w:val="4B62209A"/>
    <w:rsid w:val="4B700AE1"/>
    <w:rsid w:val="4B8360DE"/>
    <w:rsid w:val="4B862A85"/>
    <w:rsid w:val="4B8D35BB"/>
    <w:rsid w:val="4BC16080"/>
    <w:rsid w:val="4BC845F3"/>
    <w:rsid w:val="4BE44277"/>
    <w:rsid w:val="4BFB6776"/>
    <w:rsid w:val="4C0F5D7E"/>
    <w:rsid w:val="4C2832E3"/>
    <w:rsid w:val="4C286E40"/>
    <w:rsid w:val="4C4F261E"/>
    <w:rsid w:val="4C6562E6"/>
    <w:rsid w:val="4C8A5D4C"/>
    <w:rsid w:val="4CEF36E2"/>
    <w:rsid w:val="4CEF4DC5"/>
    <w:rsid w:val="4CFD207A"/>
    <w:rsid w:val="4D0D773E"/>
    <w:rsid w:val="4D4554E5"/>
    <w:rsid w:val="4D471926"/>
    <w:rsid w:val="4D662315"/>
    <w:rsid w:val="4D6F6A96"/>
    <w:rsid w:val="4D797640"/>
    <w:rsid w:val="4D9E5C73"/>
    <w:rsid w:val="4DBD0F93"/>
    <w:rsid w:val="4DCE3A17"/>
    <w:rsid w:val="4DD057CC"/>
    <w:rsid w:val="4DDC6134"/>
    <w:rsid w:val="4DEB281B"/>
    <w:rsid w:val="4E255D2C"/>
    <w:rsid w:val="4E257655"/>
    <w:rsid w:val="4E45017D"/>
    <w:rsid w:val="4E577EB0"/>
    <w:rsid w:val="4EDF237F"/>
    <w:rsid w:val="4EE009A4"/>
    <w:rsid w:val="4F0C5D1C"/>
    <w:rsid w:val="4F372380"/>
    <w:rsid w:val="4F372FFB"/>
    <w:rsid w:val="4F3E697A"/>
    <w:rsid w:val="4F626B0C"/>
    <w:rsid w:val="4F766114"/>
    <w:rsid w:val="4F844CD5"/>
    <w:rsid w:val="4F87408B"/>
    <w:rsid w:val="4F8B7E11"/>
    <w:rsid w:val="4FB1539E"/>
    <w:rsid w:val="4FDA66A3"/>
    <w:rsid w:val="4FE14B21"/>
    <w:rsid w:val="4FEC63D6"/>
    <w:rsid w:val="50033E4B"/>
    <w:rsid w:val="500927E1"/>
    <w:rsid w:val="5025116D"/>
    <w:rsid w:val="50306C0B"/>
    <w:rsid w:val="505B619A"/>
    <w:rsid w:val="506A211C"/>
    <w:rsid w:val="509B4084"/>
    <w:rsid w:val="50A71773"/>
    <w:rsid w:val="50AD3DB7"/>
    <w:rsid w:val="50C06C4B"/>
    <w:rsid w:val="50D94BAC"/>
    <w:rsid w:val="50E82355"/>
    <w:rsid w:val="50EA0B67"/>
    <w:rsid w:val="50F47C38"/>
    <w:rsid w:val="51025EB1"/>
    <w:rsid w:val="512A365A"/>
    <w:rsid w:val="51516E38"/>
    <w:rsid w:val="51736DAF"/>
    <w:rsid w:val="51844B18"/>
    <w:rsid w:val="5198191D"/>
    <w:rsid w:val="51B00003"/>
    <w:rsid w:val="51C413B8"/>
    <w:rsid w:val="51D830B6"/>
    <w:rsid w:val="51E8779D"/>
    <w:rsid w:val="51F24178"/>
    <w:rsid w:val="520143BB"/>
    <w:rsid w:val="52020133"/>
    <w:rsid w:val="52120376"/>
    <w:rsid w:val="522E717A"/>
    <w:rsid w:val="52374F91"/>
    <w:rsid w:val="52395ECD"/>
    <w:rsid w:val="523E560F"/>
    <w:rsid w:val="52410C5B"/>
    <w:rsid w:val="525210BA"/>
    <w:rsid w:val="525505B3"/>
    <w:rsid w:val="528263A7"/>
    <w:rsid w:val="52A31394"/>
    <w:rsid w:val="52AF3E17"/>
    <w:rsid w:val="52B753C1"/>
    <w:rsid w:val="52BB0A0D"/>
    <w:rsid w:val="52C10D75"/>
    <w:rsid w:val="52D715BF"/>
    <w:rsid w:val="52F932E4"/>
    <w:rsid w:val="53000B16"/>
    <w:rsid w:val="532E5683"/>
    <w:rsid w:val="5338205E"/>
    <w:rsid w:val="534A3FB3"/>
    <w:rsid w:val="53543D1F"/>
    <w:rsid w:val="53973C1A"/>
    <w:rsid w:val="53A771E4"/>
    <w:rsid w:val="53C27FF8"/>
    <w:rsid w:val="53D774DF"/>
    <w:rsid w:val="53DF072C"/>
    <w:rsid w:val="53E126F6"/>
    <w:rsid w:val="53EF6F5B"/>
    <w:rsid w:val="53F02939"/>
    <w:rsid w:val="53FF0DCE"/>
    <w:rsid w:val="540006A2"/>
    <w:rsid w:val="54063F0A"/>
    <w:rsid w:val="544C2E0C"/>
    <w:rsid w:val="545F361A"/>
    <w:rsid w:val="54806794"/>
    <w:rsid w:val="5492579E"/>
    <w:rsid w:val="54926564"/>
    <w:rsid w:val="549E1A80"/>
    <w:rsid w:val="54AA453A"/>
    <w:rsid w:val="54B020C8"/>
    <w:rsid w:val="54C658F4"/>
    <w:rsid w:val="54D45DB6"/>
    <w:rsid w:val="54FD2A1F"/>
    <w:rsid w:val="54FE7838"/>
    <w:rsid w:val="54FF095A"/>
    <w:rsid w:val="550C4BD7"/>
    <w:rsid w:val="551255ED"/>
    <w:rsid w:val="553700F3"/>
    <w:rsid w:val="55486A04"/>
    <w:rsid w:val="554C1D56"/>
    <w:rsid w:val="555626B8"/>
    <w:rsid w:val="55572986"/>
    <w:rsid w:val="555B2034"/>
    <w:rsid w:val="55AE4859"/>
    <w:rsid w:val="55DD0C9B"/>
    <w:rsid w:val="560C332E"/>
    <w:rsid w:val="562C577E"/>
    <w:rsid w:val="564E64E5"/>
    <w:rsid w:val="565340FA"/>
    <w:rsid w:val="56701B0F"/>
    <w:rsid w:val="56757125"/>
    <w:rsid w:val="568455BA"/>
    <w:rsid w:val="568E01E7"/>
    <w:rsid w:val="569C6DA8"/>
    <w:rsid w:val="56AD5F59"/>
    <w:rsid w:val="56C60774"/>
    <w:rsid w:val="56C9121F"/>
    <w:rsid w:val="56CD6F61"/>
    <w:rsid w:val="56E542AB"/>
    <w:rsid w:val="56EA18C1"/>
    <w:rsid w:val="571701DC"/>
    <w:rsid w:val="573214BA"/>
    <w:rsid w:val="573878F3"/>
    <w:rsid w:val="574014E1"/>
    <w:rsid w:val="578810DA"/>
    <w:rsid w:val="57A06A52"/>
    <w:rsid w:val="57B12A52"/>
    <w:rsid w:val="57C57C38"/>
    <w:rsid w:val="57DB745C"/>
    <w:rsid w:val="57DC0D06"/>
    <w:rsid w:val="57E44562"/>
    <w:rsid w:val="580544D9"/>
    <w:rsid w:val="58296419"/>
    <w:rsid w:val="583E1DE6"/>
    <w:rsid w:val="585316E8"/>
    <w:rsid w:val="58533496"/>
    <w:rsid w:val="586A0ED3"/>
    <w:rsid w:val="587578B0"/>
    <w:rsid w:val="58762279"/>
    <w:rsid w:val="58931AE5"/>
    <w:rsid w:val="58BC72AC"/>
    <w:rsid w:val="58D8399B"/>
    <w:rsid w:val="58FA0338"/>
    <w:rsid w:val="591F781C"/>
    <w:rsid w:val="59253085"/>
    <w:rsid w:val="593B5D04"/>
    <w:rsid w:val="597B2CA5"/>
    <w:rsid w:val="597E09E7"/>
    <w:rsid w:val="59EC5950"/>
    <w:rsid w:val="59F91E1B"/>
    <w:rsid w:val="59FE5684"/>
    <w:rsid w:val="5A250E62"/>
    <w:rsid w:val="5A2F2CC8"/>
    <w:rsid w:val="5A3B5DD0"/>
    <w:rsid w:val="5A441AA8"/>
    <w:rsid w:val="5A5D684E"/>
    <w:rsid w:val="5AB53F94"/>
    <w:rsid w:val="5AC24903"/>
    <w:rsid w:val="5AC53176"/>
    <w:rsid w:val="5AF820D3"/>
    <w:rsid w:val="5B1A1838"/>
    <w:rsid w:val="5B34416F"/>
    <w:rsid w:val="5B5163B3"/>
    <w:rsid w:val="5B533DD6"/>
    <w:rsid w:val="5B57329D"/>
    <w:rsid w:val="5B791466"/>
    <w:rsid w:val="5B7E6A7C"/>
    <w:rsid w:val="5B9444F1"/>
    <w:rsid w:val="5B9B762E"/>
    <w:rsid w:val="5BB26726"/>
    <w:rsid w:val="5BDD6458"/>
    <w:rsid w:val="5C104619"/>
    <w:rsid w:val="5C10702D"/>
    <w:rsid w:val="5C152601"/>
    <w:rsid w:val="5C1B076F"/>
    <w:rsid w:val="5C2515ED"/>
    <w:rsid w:val="5C311D40"/>
    <w:rsid w:val="5C3E192A"/>
    <w:rsid w:val="5C56756F"/>
    <w:rsid w:val="5C591F03"/>
    <w:rsid w:val="5C643EC4"/>
    <w:rsid w:val="5C734107"/>
    <w:rsid w:val="5C7560D1"/>
    <w:rsid w:val="5C8A1B2F"/>
    <w:rsid w:val="5CBC3D00"/>
    <w:rsid w:val="5D144BCD"/>
    <w:rsid w:val="5D1458EA"/>
    <w:rsid w:val="5D3E333B"/>
    <w:rsid w:val="5D69550A"/>
    <w:rsid w:val="5D8D744A"/>
    <w:rsid w:val="5D924214"/>
    <w:rsid w:val="5DB70023"/>
    <w:rsid w:val="5DBB5D65"/>
    <w:rsid w:val="5DC15346"/>
    <w:rsid w:val="5DD45079"/>
    <w:rsid w:val="5E112F1A"/>
    <w:rsid w:val="5E1172C8"/>
    <w:rsid w:val="5E1216FE"/>
    <w:rsid w:val="5E1229F9"/>
    <w:rsid w:val="5E2A2EEB"/>
    <w:rsid w:val="5E2D2E8B"/>
    <w:rsid w:val="5E341674"/>
    <w:rsid w:val="5E3E24F3"/>
    <w:rsid w:val="5E435D5B"/>
    <w:rsid w:val="5E6006BB"/>
    <w:rsid w:val="5E8072DA"/>
    <w:rsid w:val="5E907F6A"/>
    <w:rsid w:val="5EA22A81"/>
    <w:rsid w:val="5EAD2D08"/>
    <w:rsid w:val="5EB96036"/>
    <w:rsid w:val="5EBC03F9"/>
    <w:rsid w:val="5EDA66BF"/>
    <w:rsid w:val="5EDB41E5"/>
    <w:rsid w:val="5F021772"/>
    <w:rsid w:val="5F1871E8"/>
    <w:rsid w:val="5F4104EC"/>
    <w:rsid w:val="5F561B72"/>
    <w:rsid w:val="5F7C6431"/>
    <w:rsid w:val="5F93686E"/>
    <w:rsid w:val="5F9A7BFD"/>
    <w:rsid w:val="5FA34D03"/>
    <w:rsid w:val="606007BB"/>
    <w:rsid w:val="606E7F86"/>
    <w:rsid w:val="6082700E"/>
    <w:rsid w:val="60AC7F66"/>
    <w:rsid w:val="60B60A66"/>
    <w:rsid w:val="60F35816"/>
    <w:rsid w:val="61077514"/>
    <w:rsid w:val="613A6544"/>
    <w:rsid w:val="614147D4"/>
    <w:rsid w:val="6151078F"/>
    <w:rsid w:val="615D4D5C"/>
    <w:rsid w:val="61646DF3"/>
    <w:rsid w:val="61831EE9"/>
    <w:rsid w:val="61BF10D9"/>
    <w:rsid w:val="61F45FE9"/>
    <w:rsid w:val="62261C1B"/>
    <w:rsid w:val="622627A0"/>
    <w:rsid w:val="62315B16"/>
    <w:rsid w:val="624002F3"/>
    <w:rsid w:val="626C1660"/>
    <w:rsid w:val="626D784A"/>
    <w:rsid w:val="62774225"/>
    <w:rsid w:val="628726BA"/>
    <w:rsid w:val="62935CB2"/>
    <w:rsid w:val="629F66B7"/>
    <w:rsid w:val="62AC22DC"/>
    <w:rsid w:val="62AD6E5E"/>
    <w:rsid w:val="62BF00A6"/>
    <w:rsid w:val="62C31218"/>
    <w:rsid w:val="630755A9"/>
    <w:rsid w:val="631860AF"/>
    <w:rsid w:val="632B5D35"/>
    <w:rsid w:val="63332842"/>
    <w:rsid w:val="633B34A5"/>
    <w:rsid w:val="63413FAE"/>
    <w:rsid w:val="634560D1"/>
    <w:rsid w:val="63464323"/>
    <w:rsid w:val="635F7193"/>
    <w:rsid w:val="63636DBE"/>
    <w:rsid w:val="637644DD"/>
    <w:rsid w:val="639130C5"/>
    <w:rsid w:val="63A22BFD"/>
    <w:rsid w:val="63A454EE"/>
    <w:rsid w:val="63AE011A"/>
    <w:rsid w:val="63AF19A1"/>
    <w:rsid w:val="63CB2A7A"/>
    <w:rsid w:val="63DA3299"/>
    <w:rsid w:val="63FF44D2"/>
    <w:rsid w:val="64361383"/>
    <w:rsid w:val="64596999"/>
    <w:rsid w:val="648669A1"/>
    <w:rsid w:val="648A6492"/>
    <w:rsid w:val="648B0FD2"/>
    <w:rsid w:val="649410BE"/>
    <w:rsid w:val="64AD03D2"/>
    <w:rsid w:val="64D911C7"/>
    <w:rsid w:val="64DD1E43"/>
    <w:rsid w:val="64E45EF7"/>
    <w:rsid w:val="64F25DE5"/>
    <w:rsid w:val="65102E3B"/>
    <w:rsid w:val="65A43583"/>
    <w:rsid w:val="65A60E34"/>
    <w:rsid w:val="65C37EAD"/>
    <w:rsid w:val="65D5373C"/>
    <w:rsid w:val="660202AA"/>
    <w:rsid w:val="666F1DE3"/>
    <w:rsid w:val="667747F4"/>
    <w:rsid w:val="667F3EFA"/>
    <w:rsid w:val="66803B32"/>
    <w:rsid w:val="668A4527"/>
    <w:rsid w:val="6691014E"/>
    <w:rsid w:val="66C87CCE"/>
    <w:rsid w:val="66F2031E"/>
    <w:rsid w:val="67050051"/>
    <w:rsid w:val="67064295"/>
    <w:rsid w:val="67073DC9"/>
    <w:rsid w:val="670C5884"/>
    <w:rsid w:val="672B7D5A"/>
    <w:rsid w:val="67303293"/>
    <w:rsid w:val="677435B2"/>
    <w:rsid w:val="677F6056"/>
    <w:rsid w:val="67803B7C"/>
    <w:rsid w:val="678E6299"/>
    <w:rsid w:val="67931B01"/>
    <w:rsid w:val="679715F1"/>
    <w:rsid w:val="67A535E2"/>
    <w:rsid w:val="67C223E6"/>
    <w:rsid w:val="67D5211A"/>
    <w:rsid w:val="67DD14CD"/>
    <w:rsid w:val="67DD4B2A"/>
    <w:rsid w:val="67EE31DB"/>
    <w:rsid w:val="67EF75F1"/>
    <w:rsid w:val="67F00D02"/>
    <w:rsid w:val="67FD51CC"/>
    <w:rsid w:val="67FF0F45"/>
    <w:rsid w:val="68103152"/>
    <w:rsid w:val="68292528"/>
    <w:rsid w:val="68324E76"/>
    <w:rsid w:val="683E7CBF"/>
    <w:rsid w:val="684F4F11"/>
    <w:rsid w:val="685079F2"/>
    <w:rsid w:val="68534DEC"/>
    <w:rsid w:val="685A7E97"/>
    <w:rsid w:val="68896A60"/>
    <w:rsid w:val="68975621"/>
    <w:rsid w:val="68B237A6"/>
    <w:rsid w:val="68B735CD"/>
    <w:rsid w:val="68D0643D"/>
    <w:rsid w:val="690A5DF3"/>
    <w:rsid w:val="690A7BA1"/>
    <w:rsid w:val="69124F16"/>
    <w:rsid w:val="691B590A"/>
    <w:rsid w:val="69236EB5"/>
    <w:rsid w:val="69450BD9"/>
    <w:rsid w:val="694F1A58"/>
    <w:rsid w:val="698C05B6"/>
    <w:rsid w:val="69CD5C14"/>
    <w:rsid w:val="69CF0D33"/>
    <w:rsid w:val="69EF558C"/>
    <w:rsid w:val="6A070584"/>
    <w:rsid w:val="6A495A99"/>
    <w:rsid w:val="6A633A0D"/>
    <w:rsid w:val="6A6634FD"/>
    <w:rsid w:val="6A694D9B"/>
    <w:rsid w:val="6ACB7804"/>
    <w:rsid w:val="6B2A5B70"/>
    <w:rsid w:val="6B9946B3"/>
    <w:rsid w:val="6BA22313"/>
    <w:rsid w:val="6BAB6F14"/>
    <w:rsid w:val="6BB42357"/>
    <w:rsid w:val="6BBE6655"/>
    <w:rsid w:val="6BE43BCC"/>
    <w:rsid w:val="6BE518DA"/>
    <w:rsid w:val="6C156F89"/>
    <w:rsid w:val="6C276F3A"/>
    <w:rsid w:val="6C313697"/>
    <w:rsid w:val="6C387162"/>
    <w:rsid w:val="6C44786E"/>
    <w:rsid w:val="6C450EF0"/>
    <w:rsid w:val="6C5A499B"/>
    <w:rsid w:val="6C6B4DFB"/>
    <w:rsid w:val="6C7007C7"/>
    <w:rsid w:val="6C981289"/>
    <w:rsid w:val="6CCB7647"/>
    <w:rsid w:val="6CD02EB0"/>
    <w:rsid w:val="6CF52916"/>
    <w:rsid w:val="6D0E26A1"/>
    <w:rsid w:val="6D107750"/>
    <w:rsid w:val="6D3616A8"/>
    <w:rsid w:val="6D433682"/>
    <w:rsid w:val="6D4F0278"/>
    <w:rsid w:val="6D657A9C"/>
    <w:rsid w:val="6D6A3304"/>
    <w:rsid w:val="6D723F67"/>
    <w:rsid w:val="6DC742B3"/>
    <w:rsid w:val="6DE76850"/>
    <w:rsid w:val="6DF210A0"/>
    <w:rsid w:val="6DF50874"/>
    <w:rsid w:val="6E070B53"/>
    <w:rsid w:val="6E423939"/>
    <w:rsid w:val="6E4E22DE"/>
    <w:rsid w:val="6E557B10"/>
    <w:rsid w:val="6E930639"/>
    <w:rsid w:val="6EA14B04"/>
    <w:rsid w:val="6EAE7221"/>
    <w:rsid w:val="6ECF78C3"/>
    <w:rsid w:val="6ED44ED9"/>
    <w:rsid w:val="6EF52990"/>
    <w:rsid w:val="6EFC4430"/>
    <w:rsid w:val="6F152DFC"/>
    <w:rsid w:val="6F173018"/>
    <w:rsid w:val="6F2474E3"/>
    <w:rsid w:val="6F3B4F58"/>
    <w:rsid w:val="6F51652A"/>
    <w:rsid w:val="6FB20BD4"/>
    <w:rsid w:val="6FBA59BE"/>
    <w:rsid w:val="6FE26134"/>
    <w:rsid w:val="6FE3569E"/>
    <w:rsid w:val="6FF11ABB"/>
    <w:rsid w:val="6FFF64DB"/>
    <w:rsid w:val="70296B3E"/>
    <w:rsid w:val="70383246"/>
    <w:rsid w:val="7047792D"/>
    <w:rsid w:val="70611204"/>
    <w:rsid w:val="70A72179"/>
    <w:rsid w:val="70AA78F9"/>
    <w:rsid w:val="70AC7AC8"/>
    <w:rsid w:val="70AC7E34"/>
    <w:rsid w:val="70BA1EAD"/>
    <w:rsid w:val="70F27898"/>
    <w:rsid w:val="710B095A"/>
    <w:rsid w:val="711B78B6"/>
    <w:rsid w:val="71267542"/>
    <w:rsid w:val="713D663A"/>
    <w:rsid w:val="713E6586"/>
    <w:rsid w:val="7141612A"/>
    <w:rsid w:val="714D0F73"/>
    <w:rsid w:val="71632544"/>
    <w:rsid w:val="7165620F"/>
    <w:rsid w:val="717039F8"/>
    <w:rsid w:val="71793B16"/>
    <w:rsid w:val="71950224"/>
    <w:rsid w:val="71BB2380"/>
    <w:rsid w:val="71FD482A"/>
    <w:rsid w:val="7258372B"/>
    <w:rsid w:val="72A97EF2"/>
    <w:rsid w:val="72D57472"/>
    <w:rsid w:val="72DF5BFA"/>
    <w:rsid w:val="72E871A5"/>
    <w:rsid w:val="72F1592E"/>
    <w:rsid w:val="73013DC3"/>
    <w:rsid w:val="7313141F"/>
    <w:rsid w:val="734C5749"/>
    <w:rsid w:val="736600CA"/>
    <w:rsid w:val="739534EB"/>
    <w:rsid w:val="739F35DC"/>
    <w:rsid w:val="73EF4563"/>
    <w:rsid w:val="74040BE9"/>
    <w:rsid w:val="74277859"/>
    <w:rsid w:val="74351F3A"/>
    <w:rsid w:val="744E4DF4"/>
    <w:rsid w:val="74546174"/>
    <w:rsid w:val="745F3497"/>
    <w:rsid w:val="74626AE3"/>
    <w:rsid w:val="747674B1"/>
    <w:rsid w:val="749E50E9"/>
    <w:rsid w:val="74A964C0"/>
    <w:rsid w:val="74C80112"/>
    <w:rsid w:val="74D13AD5"/>
    <w:rsid w:val="74F82FA3"/>
    <w:rsid w:val="74FA2C30"/>
    <w:rsid w:val="750D133A"/>
    <w:rsid w:val="751029E3"/>
    <w:rsid w:val="751A116C"/>
    <w:rsid w:val="75466405"/>
    <w:rsid w:val="754D5C4B"/>
    <w:rsid w:val="75630D65"/>
    <w:rsid w:val="758331B5"/>
    <w:rsid w:val="75AD3D8E"/>
    <w:rsid w:val="75E2743D"/>
    <w:rsid w:val="760F67F7"/>
    <w:rsid w:val="76324AE9"/>
    <w:rsid w:val="763E0E8A"/>
    <w:rsid w:val="7645046A"/>
    <w:rsid w:val="76564426"/>
    <w:rsid w:val="7662101C"/>
    <w:rsid w:val="76816FC9"/>
    <w:rsid w:val="76B31878"/>
    <w:rsid w:val="76B61368"/>
    <w:rsid w:val="76C240A7"/>
    <w:rsid w:val="76D0242A"/>
    <w:rsid w:val="76D90BB3"/>
    <w:rsid w:val="76DA32A9"/>
    <w:rsid w:val="76DA416A"/>
    <w:rsid w:val="76FA1255"/>
    <w:rsid w:val="76FC7D28"/>
    <w:rsid w:val="77130569"/>
    <w:rsid w:val="7725204A"/>
    <w:rsid w:val="77456248"/>
    <w:rsid w:val="775246B7"/>
    <w:rsid w:val="779C67B0"/>
    <w:rsid w:val="77BC650A"/>
    <w:rsid w:val="780E5016"/>
    <w:rsid w:val="780F6AF6"/>
    <w:rsid w:val="781E69D1"/>
    <w:rsid w:val="782D11B6"/>
    <w:rsid w:val="78326D70"/>
    <w:rsid w:val="783A38D3"/>
    <w:rsid w:val="787768D5"/>
    <w:rsid w:val="78BA32A4"/>
    <w:rsid w:val="78D83818"/>
    <w:rsid w:val="78E51A91"/>
    <w:rsid w:val="78EA354B"/>
    <w:rsid w:val="7901747F"/>
    <w:rsid w:val="791B4953"/>
    <w:rsid w:val="79294073"/>
    <w:rsid w:val="79473C2A"/>
    <w:rsid w:val="79475FEE"/>
    <w:rsid w:val="79532E9E"/>
    <w:rsid w:val="795B7FA5"/>
    <w:rsid w:val="79667075"/>
    <w:rsid w:val="797909D8"/>
    <w:rsid w:val="798F449B"/>
    <w:rsid w:val="79C30024"/>
    <w:rsid w:val="79E166FC"/>
    <w:rsid w:val="7A042367"/>
    <w:rsid w:val="7A263B6B"/>
    <w:rsid w:val="7A2A00A3"/>
    <w:rsid w:val="7A505630"/>
    <w:rsid w:val="7A6F443F"/>
    <w:rsid w:val="7A792ACC"/>
    <w:rsid w:val="7A813A3B"/>
    <w:rsid w:val="7AB45BBF"/>
    <w:rsid w:val="7AC027B5"/>
    <w:rsid w:val="7ACC2F08"/>
    <w:rsid w:val="7AF46346"/>
    <w:rsid w:val="7B060822"/>
    <w:rsid w:val="7B0F5EBF"/>
    <w:rsid w:val="7B130FB9"/>
    <w:rsid w:val="7B3D3E06"/>
    <w:rsid w:val="7B452CBB"/>
    <w:rsid w:val="7B7D7231"/>
    <w:rsid w:val="7BA63759"/>
    <w:rsid w:val="7BA9149B"/>
    <w:rsid w:val="7BAB5214"/>
    <w:rsid w:val="7BB045D8"/>
    <w:rsid w:val="7BC9242F"/>
    <w:rsid w:val="7BC97448"/>
    <w:rsid w:val="7BD04C7A"/>
    <w:rsid w:val="7BD5390A"/>
    <w:rsid w:val="7BD71E38"/>
    <w:rsid w:val="7BEC3136"/>
    <w:rsid w:val="7BF64EDE"/>
    <w:rsid w:val="7C400C1E"/>
    <w:rsid w:val="7C4D15CA"/>
    <w:rsid w:val="7C642DCD"/>
    <w:rsid w:val="7C7467CD"/>
    <w:rsid w:val="7CAB42AF"/>
    <w:rsid w:val="7CB95768"/>
    <w:rsid w:val="7CD36E45"/>
    <w:rsid w:val="7D0F17D2"/>
    <w:rsid w:val="7D715FE9"/>
    <w:rsid w:val="7D787377"/>
    <w:rsid w:val="7D7F0706"/>
    <w:rsid w:val="7D910439"/>
    <w:rsid w:val="7DAC0DCF"/>
    <w:rsid w:val="7DB3215D"/>
    <w:rsid w:val="7DC50C56"/>
    <w:rsid w:val="7DC51E91"/>
    <w:rsid w:val="7DD11708"/>
    <w:rsid w:val="7DD86068"/>
    <w:rsid w:val="7DEE4A4F"/>
    <w:rsid w:val="7E01111B"/>
    <w:rsid w:val="7E096221"/>
    <w:rsid w:val="7E1D4C4C"/>
    <w:rsid w:val="7E212F6B"/>
    <w:rsid w:val="7E265025"/>
    <w:rsid w:val="7E374F5D"/>
    <w:rsid w:val="7E4234E1"/>
    <w:rsid w:val="7E521976"/>
    <w:rsid w:val="7E6F2DC0"/>
    <w:rsid w:val="7E745D91"/>
    <w:rsid w:val="7EA83C8C"/>
    <w:rsid w:val="7EAE6230"/>
    <w:rsid w:val="7EBD579E"/>
    <w:rsid w:val="7EC167BD"/>
    <w:rsid w:val="7ED305B1"/>
    <w:rsid w:val="7EE82723"/>
    <w:rsid w:val="7EFD1A58"/>
    <w:rsid w:val="7F160CF6"/>
    <w:rsid w:val="7F272D9E"/>
    <w:rsid w:val="7F3821C1"/>
    <w:rsid w:val="7F3B065C"/>
    <w:rsid w:val="7F477001"/>
    <w:rsid w:val="7F526B25"/>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qFormat="1" w:unhideWhenUsed="0" w:uiPriority="0" w:semiHidden="0"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0"/>
    <w:autoRedefine/>
    <w:qFormat/>
    <w:uiPriority w:val="99"/>
    <w:pPr>
      <w:keepNext/>
      <w:keepLines/>
      <w:spacing w:before="340" w:after="330" w:line="578" w:lineRule="auto"/>
      <w:outlineLvl w:val="0"/>
    </w:pPr>
    <w:rPr>
      <w:b/>
      <w:kern w:val="44"/>
      <w:sz w:val="44"/>
      <w:szCs w:val="20"/>
    </w:rPr>
  </w:style>
  <w:style w:type="paragraph" w:styleId="3">
    <w:name w:val="heading 2"/>
    <w:basedOn w:val="1"/>
    <w:next w:val="1"/>
    <w:link w:val="91"/>
    <w:autoRedefine/>
    <w:qFormat/>
    <w:uiPriority w:val="99"/>
    <w:pPr>
      <w:keepNext/>
      <w:keepLines/>
      <w:spacing w:before="260" w:after="260" w:line="416" w:lineRule="auto"/>
      <w:outlineLvl w:val="1"/>
    </w:pPr>
    <w:rPr>
      <w:rFonts w:ascii="Cambria" w:hAnsi="Cambria"/>
      <w:b/>
      <w:sz w:val="32"/>
      <w:szCs w:val="20"/>
    </w:rPr>
  </w:style>
  <w:style w:type="paragraph" w:styleId="4">
    <w:name w:val="heading 3"/>
    <w:basedOn w:val="1"/>
    <w:next w:val="1"/>
    <w:link w:val="92"/>
    <w:autoRedefine/>
    <w:qFormat/>
    <w:uiPriority w:val="99"/>
    <w:pPr>
      <w:keepNext/>
      <w:keepLines/>
      <w:spacing w:before="260" w:after="260" w:line="416" w:lineRule="auto"/>
      <w:outlineLvl w:val="2"/>
    </w:pPr>
    <w:rPr>
      <w:b/>
      <w:sz w:val="32"/>
      <w:szCs w:val="20"/>
    </w:rPr>
  </w:style>
  <w:style w:type="paragraph" w:styleId="5">
    <w:name w:val="heading 4"/>
    <w:basedOn w:val="1"/>
    <w:next w:val="1"/>
    <w:link w:val="93"/>
    <w:autoRedefine/>
    <w:qFormat/>
    <w:uiPriority w:val="99"/>
    <w:pPr>
      <w:keepNext/>
      <w:keepLines/>
      <w:spacing w:line="360" w:lineRule="auto"/>
      <w:outlineLvl w:val="3"/>
    </w:pPr>
    <w:rPr>
      <w:rFonts w:ascii="Arial" w:hAnsi="Arial"/>
      <w:b/>
      <w:sz w:val="28"/>
      <w:szCs w:val="20"/>
    </w:rPr>
  </w:style>
  <w:style w:type="paragraph" w:styleId="6">
    <w:name w:val="heading 5"/>
    <w:basedOn w:val="1"/>
    <w:next w:val="1"/>
    <w:link w:val="94"/>
    <w:autoRedefine/>
    <w:qFormat/>
    <w:uiPriority w:val="99"/>
    <w:pPr>
      <w:keepNext/>
      <w:keepLines/>
      <w:spacing w:before="280" w:after="290" w:line="376" w:lineRule="auto"/>
      <w:outlineLvl w:val="4"/>
    </w:pPr>
    <w:rPr>
      <w:b/>
      <w:sz w:val="28"/>
      <w:szCs w:val="20"/>
    </w:rPr>
  </w:style>
  <w:style w:type="paragraph" w:styleId="7">
    <w:name w:val="heading 6"/>
    <w:basedOn w:val="1"/>
    <w:next w:val="1"/>
    <w:link w:val="70"/>
    <w:autoRedefine/>
    <w:qFormat/>
    <w:uiPriority w:val="99"/>
    <w:pPr>
      <w:keepNext/>
      <w:keepLines/>
      <w:spacing w:before="240" w:after="64" w:line="317" w:lineRule="auto"/>
      <w:outlineLvl w:val="5"/>
    </w:pPr>
    <w:rPr>
      <w:rFonts w:ascii="Cambria" w:hAnsi="Cambria"/>
      <w:b/>
      <w:bCs/>
      <w:kern w:val="0"/>
      <w:sz w:val="24"/>
    </w:rPr>
  </w:style>
  <w:style w:type="paragraph" w:styleId="8">
    <w:name w:val="heading 7"/>
    <w:basedOn w:val="1"/>
    <w:next w:val="1"/>
    <w:link w:val="71"/>
    <w:autoRedefine/>
    <w:qFormat/>
    <w:uiPriority w:val="99"/>
    <w:pPr>
      <w:keepNext/>
      <w:keepLines/>
      <w:spacing w:before="240" w:after="64" w:line="317" w:lineRule="auto"/>
      <w:outlineLvl w:val="6"/>
    </w:pPr>
    <w:rPr>
      <w:b/>
      <w:bCs/>
      <w:kern w:val="0"/>
      <w:sz w:val="24"/>
    </w:rPr>
  </w:style>
  <w:style w:type="paragraph" w:styleId="9">
    <w:name w:val="heading 8"/>
    <w:basedOn w:val="1"/>
    <w:next w:val="1"/>
    <w:link w:val="72"/>
    <w:autoRedefine/>
    <w:qFormat/>
    <w:uiPriority w:val="99"/>
    <w:pPr>
      <w:keepNext/>
      <w:keepLines/>
      <w:spacing w:before="240" w:after="64" w:line="320" w:lineRule="auto"/>
      <w:outlineLvl w:val="7"/>
    </w:pPr>
    <w:rPr>
      <w:rFonts w:ascii="等线 Light" w:hAnsi="等线 Light" w:eastAsia="等线 Light"/>
      <w:sz w:val="24"/>
    </w:rPr>
  </w:style>
  <w:style w:type="paragraph" w:styleId="10">
    <w:name w:val="heading 9"/>
    <w:basedOn w:val="1"/>
    <w:next w:val="1"/>
    <w:link w:val="73"/>
    <w:autoRedefine/>
    <w:qFormat/>
    <w:uiPriority w:val="99"/>
    <w:pPr>
      <w:keepNext/>
      <w:keepLines/>
      <w:spacing w:before="240" w:after="64" w:line="317" w:lineRule="auto"/>
      <w:outlineLvl w:val="8"/>
    </w:pPr>
    <w:rPr>
      <w:rFonts w:ascii="Cambria" w:hAnsi="Cambria"/>
      <w:kern w:val="0"/>
      <w:sz w:val="20"/>
      <w:szCs w:val="21"/>
    </w:r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99"/>
    <w:pPr>
      <w:ind w:left="2520" w:leftChars="1200"/>
    </w:pPr>
    <w:rPr>
      <w:rFonts w:ascii="Calibri" w:hAnsi="Calibri" w:cs="Calibri"/>
      <w:szCs w:val="21"/>
    </w:rPr>
  </w:style>
  <w:style w:type="paragraph" w:styleId="12">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3">
    <w:name w:val="Normal Indent"/>
    <w:basedOn w:val="1"/>
    <w:next w:val="1"/>
    <w:link w:val="95"/>
    <w:autoRedefine/>
    <w:qFormat/>
    <w:uiPriority w:val="99"/>
    <w:pPr>
      <w:ind w:firstLine="420"/>
    </w:pPr>
    <w:rPr>
      <w:szCs w:val="20"/>
    </w:rPr>
  </w:style>
  <w:style w:type="paragraph" w:styleId="14">
    <w:name w:val="caption"/>
    <w:basedOn w:val="1"/>
    <w:next w:val="1"/>
    <w:autoRedefine/>
    <w:qFormat/>
    <w:uiPriority w:val="99"/>
    <w:rPr>
      <w:rFonts w:ascii="Cambria" w:hAnsi="Cambria" w:eastAsia="黑体" w:cs="Cambria"/>
      <w:sz w:val="20"/>
      <w:szCs w:val="20"/>
    </w:rPr>
  </w:style>
  <w:style w:type="paragraph" w:styleId="15">
    <w:name w:val="Document Map"/>
    <w:basedOn w:val="1"/>
    <w:link w:val="96"/>
    <w:autoRedefine/>
    <w:qFormat/>
    <w:uiPriority w:val="99"/>
    <w:pPr>
      <w:shd w:val="clear" w:color="auto" w:fill="000080"/>
    </w:pPr>
    <w:rPr>
      <w:sz w:val="24"/>
      <w:szCs w:val="20"/>
      <w:shd w:val="clear" w:color="auto" w:fill="000080"/>
    </w:rPr>
  </w:style>
  <w:style w:type="paragraph" w:styleId="16">
    <w:name w:val="annotation text"/>
    <w:basedOn w:val="1"/>
    <w:link w:val="97"/>
    <w:autoRedefine/>
    <w:qFormat/>
    <w:uiPriority w:val="99"/>
    <w:pPr>
      <w:jc w:val="left"/>
    </w:pPr>
    <w:rPr>
      <w:sz w:val="24"/>
      <w:szCs w:val="20"/>
    </w:rPr>
  </w:style>
  <w:style w:type="paragraph" w:styleId="17">
    <w:name w:val="index 6"/>
    <w:basedOn w:val="1"/>
    <w:next w:val="1"/>
    <w:qFormat/>
    <w:locked/>
    <w:uiPriority w:val="0"/>
    <w:pPr>
      <w:ind w:left="1000" w:leftChars="1000"/>
    </w:pPr>
  </w:style>
  <w:style w:type="paragraph" w:styleId="18">
    <w:name w:val="Body Text 3"/>
    <w:basedOn w:val="1"/>
    <w:link w:val="76"/>
    <w:autoRedefine/>
    <w:qFormat/>
    <w:uiPriority w:val="99"/>
    <w:pPr>
      <w:spacing w:after="120"/>
    </w:pPr>
    <w:rPr>
      <w:sz w:val="16"/>
      <w:szCs w:val="16"/>
    </w:rPr>
  </w:style>
  <w:style w:type="paragraph" w:styleId="19">
    <w:name w:val="Body Text"/>
    <w:basedOn w:val="1"/>
    <w:next w:val="1"/>
    <w:link w:val="77"/>
    <w:autoRedefine/>
    <w:qFormat/>
    <w:uiPriority w:val="99"/>
    <w:pPr>
      <w:spacing w:after="120"/>
    </w:pPr>
  </w:style>
  <w:style w:type="paragraph" w:styleId="20">
    <w:name w:val="Body Text Indent"/>
    <w:basedOn w:val="1"/>
    <w:next w:val="21"/>
    <w:link w:val="98"/>
    <w:autoRedefine/>
    <w:qFormat/>
    <w:uiPriority w:val="99"/>
    <w:pPr>
      <w:ind w:firstLine="830" w:firstLineChars="352"/>
    </w:pPr>
    <w:rPr>
      <w:rFonts w:ascii="仿宋_GB2312" w:eastAsia="仿宋_GB2312"/>
      <w:kern w:val="0"/>
      <w:sz w:val="20"/>
      <w:szCs w:val="20"/>
    </w:rPr>
  </w:style>
  <w:style w:type="paragraph" w:customStyle="1" w:styleId="21">
    <w:name w:val="Default"/>
    <w:next w:val="17"/>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styleId="22">
    <w:name w:val="List 2"/>
    <w:basedOn w:val="1"/>
    <w:autoRedefine/>
    <w:qFormat/>
    <w:uiPriority w:val="99"/>
    <w:pPr>
      <w:ind w:left="100" w:leftChars="200" w:hanging="200" w:hangingChars="200"/>
      <w:contextualSpacing/>
    </w:pPr>
  </w:style>
  <w:style w:type="paragraph" w:styleId="23">
    <w:name w:val="index 4"/>
    <w:basedOn w:val="1"/>
    <w:next w:val="1"/>
    <w:autoRedefine/>
    <w:semiHidden/>
    <w:qFormat/>
    <w:uiPriority w:val="99"/>
    <w:pPr>
      <w:ind w:left="600" w:leftChars="600"/>
    </w:pPr>
    <w:rPr>
      <w:szCs w:val="21"/>
    </w:rPr>
  </w:style>
  <w:style w:type="paragraph" w:styleId="24">
    <w:name w:val="toc 5"/>
    <w:basedOn w:val="1"/>
    <w:next w:val="1"/>
    <w:autoRedefine/>
    <w:qFormat/>
    <w:uiPriority w:val="99"/>
    <w:pPr>
      <w:ind w:left="1680" w:leftChars="800"/>
    </w:pPr>
    <w:rPr>
      <w:rFonts w:ascii="Calibri" w:hAnsi="Calibri" w:cs="Calibri"/>
      <w:szCs w:val="21"/>
    </w:rPr>
  </w:style>
  <w:style w:type="paragraph" w:styleId="25">
    <w:name w:val="toc 3"/>
    <w:basedOn w:val="1"/>
    <w:next w:val="1"/>
    <w:autoRedefine/>
    <w:qFormat/>
    <w:uiPriority w:val="99"/>
    <w:pPr>
      <w:ind w:left="840" w:leftChars="400"/>
    </w:pPr>
    <w:rPr>
      <w:szCs w:val="21"/>
    </w:rPr>
  </w:style>
  <w:style w:type="paragraph" w:styleId="26">
    <w:name w:val="Plain Text"/>
    <w:basedOn w:val="1"/>
    <w:link w:val="99"/>
    <w:autoRedefine/>
    <w:qFormat/>
    <w:uiPriority w:val="99"/>
    <w:rPr>
      <w:rFonts w:ascii="宋体" w:hAnsi="Courier New"/>
      <w:kern w:val="0"/>
      <w:szCs w:val="20"/>
    </w:rPr>
  </w:style>
  <w:style w:type="paragraph" w:styleId="27">
    <w:name w:val="toc 8"/>
    <w:basedOn w:val="1"/>
    <w:next w:val="1"/>
    <w:autoRedefine/>
    <w:qFormat/>
    <w:uiPriority w:val="99"/>
    <w:pPr>
      <w:ind w:left="2940" w:leftChars="1400"/>
    </w:pPr>
    <w:rPr>
      <w:rFonts w:ascii="Calibri" w:hAnsi="Calibri" w:cs="Calibri"/>
      <w:szCs w:val="21"/>
    </w:rPr>
  </w:style>
  <w:style w:type="paragraph" w:styleId="28">
    <w:name w:val="Date"/>
    <w:basedOn w:val="1"/>
    <w:next w:val="1"/>
    <w:link w:val="100"/>
    <w:autoRedefine/>
    <w:qFormat/>
    <w:uiPriority w:val="99"/>
    <w:pPr>
      <w:ind w:left="100" w:leftChars="2500"/>
    </w:pPr>
    <w:rPr>
      <w:sz w:val="24"/>
      <w:szCs w:val="20"/>
    </w:rPr>
  </w:style>
  <w:style w:type="paragraph" w:styleId="29">
    <w:name w:val="Body Text Indent 2"/>
    <w:basedOn w:val="1"/>
    <w:link w:val="101"/>
    <w:autoRedefine/>
    <w:qFormat/>
    <w:uiPriority w:val="99"/>
    <w:pPr>
      <w:spacing w:after="120" w:line="480" w:lineRule="auto"/>
      <w:ind w:left="420" w:leftChars="200"/>
    </w:pPr>
    <w:rPr>
      <w:sz w:val="24"/>
      <w:szCs w:val="20"/>
    </w:rPr>
  </w:style>
  <w:style w:type="paragraph" w:styleId="30">
    <w:name w:val="Balloon Text"/>
    <w:basedOn w:val="1"/>
    <w:link w:val="102"/>
    <w:autoRedefine/>
    <w:qFormat/>
    <w:uiPriority w:val="99"/>
    <w:rPr>
      <w:sz w:val="18"/>
      <w:szCs w:val="20"/>
    </w:rPr>
  </w:style>
  <w:style w:type="paragraph" w:styleId="31">
    <w:name w:val="footer"/>
    <w:basedOn w:val="1"/>
    <w:next w:val="1"/>
    <w:link w:val="103"/>
    <w:autoRedefine/>
    <w:qFormat/>
    <w:uiPriority w:val="99"/>
    <w:pPr>
      <w:tabs>
        <w:tab w:val="center" w:pos="4153"/>
        <w:tab w:val="right" w:pos="8306"/>
      </w:tabs>
      <w:snapToGrid w:val="0"/>
      <w:jc w:val="left"/>
    </w:pPr>
    <w:rPr>
      <w:kern w:val="0"/>
      <w:sz w:val="18"/>
      <w:szCs w:val="20"/>
    </w:rPr>
  </w:style>
  <w:style w:type="paragraph" w:styleId="32">
    <w:name w:val="header"/>
    <w:basedOn w:val="1"/>
    <w:link w:val="104"/>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3">
    <w:name w:val="toc 1"/>
    <w:basedOn w:val="1"/>
    <w:next w:val="1"/>
    <w:autoRedefine/>
    <w:qFormat/>
    <w:uiPriority w:val="99"/>
  </w:style>
  <w:style w:type="paragraph" w:styleId="34">
    <w:name w:val="toc 4"/>
    <w:basedOn w:val="1"/>
    <w:next w:val="1"/>
    <w:autoRedefine/>
    <w:qFormat/>
    <w:uiPriority w:val="99"/>
    <w:pPr>
      <w:ind w:left="1260" w:leftChars="600"/>
    </w:pPr>
    <w:rPr>
      <w:rFonts w:ascii="Calibri" w:hAnsi="Calibri" w:cs="Calibri"/>
      <w:szCs w:val="21"/>
    </w:rPr>
  </w:style>
  <w:style w:type="paragraph" w:styleId="35">
    <w:name w:val="Subtitle"/>
    <w:basedOn w:val="1"/>
    <w:next w:val="1"/>
    <w:link w:val="85"/>
    <w:autoRedefine/>
    <w:qFormat/>
    <w:uiPriority w:val="99"/>
    <w:pPr>
      <w:spacing w:before="240" w:after="60" w:line="312" w:lineRule="auto"/>
      <w:jc w:val="center"/>
      <w:outlineLvl w:val="1"/>
    </w:pPr>
    <w:rPr>
      <w:rFonts w:ascii="Cambria" w:hAnsi="Cambria"/>
      <w:b/>
      <w:bCs/>
      <w:kern w:val="28"/>
      <w:sz w:val="32"/>
      <w:szCs w:val="32"/>
    </w:rPr>
  </w:style>
  <w:style w:type="paragraph" w:styleId="36">
    <w:name w:val="footnote text"/>
    <w:basedOn w:val="1"/>
    <w:link w:val="105"/>
    <w:autoRedefine/>
    <w:qFormat/>
    <w:uiPriority w:val="99"/>
    <w:pPr>
      <w:adjustRightInd w:val="0"/>
      <w:spacing w:line="312" w:lineRule="atLeast"/>
      <w:jc w:val="left"/>
      <w:textAlignment w:val="baseline"/>
    </w:pPr>
    <w:rPr>
      <w:kern w:val="0"/>
      <w:sz w:val="18"/>
      <w:szCs w:val="20"/>
    </w:rPr>
  </w:style>
  <w:style w:type="paragraph" w:styleId="37">
    <w:name w:val="toc 6"/>
    <w:basedOn w:val="1"/>
    <w:next w:val="1"/>
    <w:autoRedefine/>
    <w:qFormat/>
    <w:uiPriority w:val="99"/>
    <w:pPr>
      <w:ind w:left="2100" w:leftChars="1000"/>
    </w:pPr>
    <w:rPr>
      <w:rFonts w:ascii="Calibri" w:hAnsi="Calibri" w:cs="Calibri"/>
      <w:szCs w:val="21"/>
    </w:rPr>
  </w:style>
  <w:style w:type="paragraph" w:styleId="38">
    <w:name w:val="toc 2"/>
    <w:basedOn w:val="1"/>
    <w:next w:val="1"/>
    <w:autoRedefine/>
    <w:qFormat/>
    <w:uiPriority w:val="99"/>
    <w:pPr>
      <w:tabs>
        <w:tab w:val="right" w:leader="dot" w:pos="8296"/>
      </w:tabs>
      <w:ind w:left="420" w:leftChars="200"/>
    </w:pPr>
  </w:style>
  <w:style w:type="paragraph" w:styleId="39">
    <w:name w:val="toc 9"/>
    <w:basedOn w:val="1"/>
    <w:next w:val="1"/>
    <w:autoRedefine/>
    <w:qFormat/>
    <w:uiPriority w:val="99"/>
    <w:pPr>
      <w:ind w:left="3360" w:leftChars="1600"/>
    </w:pPr>
    <w:rPr>
      <w:rFonts w:ascii="Calibri" w:hAnsi="Calibri" w:cs="Calibri"/>
      <w:szCs w:val="21"/>
    </w:rPr>
  </w:style>
  <w:style w:type="paragraph" w:styleId="40">
    <w:name w:val="HTML Preformatted"/>
    <w:basedOn w:val="1"/>
    <w:link w:val="87"/>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1">
    <w:name w:val="Normal (Web)"/>
    <w:basedOn w:val="1"/>
    <w:autoRedefine/>
    <w:qFormat/>
    <w:uiPriority w:val="99"/>
    <w:rPr>
      <w:rFonts w:ascii="Calibri" w:hAnsi="Calibri"/>
      <w:kern w:val="0"/>
      <w:sz w:val="24"/>
    </w:rPr>
  </w:style>
  <w:style w:type="paragraph" w:styleId="42">
    <w:name w:val="Title"/>
    <w:basedOn w:val="1"/>
    <w:next w:val="1"/>
    <w:link w:val="106"/>
    <w:autoRedefine/>
    <w:qFormat/>
    <w:uiPriority w:val="99"/>
    <w:pPr>
      <w:spacing w:before="240" w:after="60"/>
      <w:jc w:val="center"/>
      <w:outlineLvl w:val="0"/>
    </w:pPr>
    <w:rPr>
      <w:rFonts w:ascii="Cambria" w:hAnsi="Cambria"/>
      <w:b/>
      <w:sz w:val="32"/>
      <w:szCs w:val="20"/>
    </w:rPr>
  </w:style>
  <w:style w:type="paragraph" w:styleId="43">
    <w:name w:val="annotation subject"/>
    <w:basedOn w:val="16"/>
    <w:next w:val="16"/>
    <w:link w:val="107"/>
    <w:autoRedefine/>
    <w:qFormat/>
    <w:uiPriority w:val="99"/>
    <w:rPr>
      <w:b/>
    </w:rPr>
  </w:style>
  <w:style w:type="paragraph" w:styleId="44">
    <w:name w:val="Body Text First Indent 2"/>
    <w:basedOn w:val="20"/>
    <w:link w:val="240"/>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6">
    <w:name w:val="Table Grid"/>
    <w:basedOn w:val="45"/>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basedOn w:val="47"/>
    <w:autoRedefine/>
    <w:qFormat/>
    <w:uiPriority w:val="99"/>
    <w:rPr>
      <w:rFonts w:cs="Times New Roman"/>
      <w:b/>
    </w:rPr>
  </w:style>
  <w:style w:type="character" w:styleId="49">
    <w:name w:val="endnote reference"/>
    <w:basedOn w:val="47"/>
    <w:autoRedefine/>
    <w:qFormat/>
    <w:uiPriority w:val="99"/>
    <w:rPr>
      <w:rFonts w:cs="Times New Roman"/>
      <w:vertAlign w:val="superscript"/>
    </w:rPr>
  </w:style>
  <w:style w:type="character" w:styleId="50">
    <w:name w:val="page number"/>
    <w:basedOn w:val="47"/>
    <w:autoRedefine/>
    <w:qFormat/>
    <w:uiPriority w:val="99"/>
    <w:rPr>
      <w:rFonts w:cs="Times New Roman"/>
    </w:rPr>
  </w:style>
  <w:style w:type="character" w:styleId="51">
    <w:name w:val="Emphasis"/>
    <w:basedOn w:val="47"/>
    <w:autoRedefine/>
    <w:qFormat/>
    <w:uiPriority w:val="99"/>
    <w:rPr>
      <w:rFonts w:cs="Times New Roman"/>
      <w:i/>
    </w:rPr>
  </w:style>
  <w:style w:type="character" w:styleId="52">
    <w:name w:val="HTML Definition"/>
    <w:basedOn w:val="47"/>
    <w:autoRedefine/>
    <w:qFormat/>
    <w:uiPriority w:val="99"/>
    <w:rPr>
      <w:rFonts w:cs="Times New Roman"/>
    </w:rPr>
  </w:style>
  <w:style w:type="character" w:styleId="53">
    <w:name w:val="HTML Typewriter"/>
    <w:basedOn w:val="47"/>
    <w:autoRedefine/>
    <w:qFormat/>
    <w:uiPriority w:val="99"/>
    <w:rPr>
      <w:rFonts w:ascii="monospace" w:hAnsi="monospace" w:cs="monospace"/>
      <w:sz w:val="20"/>
    </w:rPr>
  </w:style>
  <w:style w:type="character" w:styleId="54">
    <w:name w:val="HTML Acronym"/>
    <w:basedOn w:val="47"/>
    <w:autoRedefine/>
    <w:qFormat/>
    <w:uiPriority w:val="99"/>
    <w:rPr>
      <w:rFonts w:cs="Times New Roman"/>
    </w:rPr>
  </w:style>
  <w:style w:type="character" w:styleId="55">
    <w:name w:val="HTML Variable"/>
    <w:basedOn w:val="47"/>
    <w:autoRedefine/>
    <w:qFormat/>
    <w:uiPriority w:val="99"/>
    <w:rPr>
      <w:rFonts w:cs="Times New Roman"/>
    </w:rPr>
  </w:style>
  <w:style w:type="character" w:styleId="56">
    <w:name w:val="Hyperlink"/>
    <w:basedOn w:val="47"/>
    <w:autoRedefine/>
    <w:qFormat/>
    <w:uiPriority w:val="99"/>
    <w:rPr>
      <w:rFonts w:cs="Times New Roman"/>
      <w:color w:val="0000FF"/>
      <w:u w:val="single"/>
    </w:rPr>
  </w:style>
  <w:style w:type="character" w:styleId="57">
    <w:name w:val="HTML Code"/>
    <w:basedOn w:val="47"/>
    <w:autoRedefine/>
    <w:qFormat/>
    <w:uiPriority w:val="99"/>
    <w:rPr>
      <w:rFonts w:ascii="monospace" w:hAnsi="monospace" w:cs="monospace"/>
      <w:sz w:val="20"/>
    </w:rPr>
  </w:style>
  <w:style w:type="character" w:styleId="58">
    <w:name w:val="annotation reference"/>
    <w:basedOn w:val="47"/>
    <w:autoRedefine/>
    <w:qFormat/>
    <w:uiPriority w:val="99"/>
    <w:rPr>
      <w:rFonts w:cs="Times New Roman"/>
      <w:sz w:val="21"/>
    </w:rPr>
  </w:style>
  <w:style w:type="character" w:styleId="59">
    <w:name w:val="HTML Cite"/>
    <w:basedOn w:val="47"/>
    <w:autoRedefine/>
    <w:qFormat/>
    <w:uiPriority w:val="99"/>
    <w:rPr>
      <w:rFonts w:cs="Times New Roman"/>
    </w:rPr>
  </w:style>
  <w:style w:type="character" w:styleId="60">
    <w:name w:val="footnote reference"/>
    <w:basedOn w:val="47"/>
    <w:autoRedefine/>
    <w:qFormat/>
    <w:uiPriority w:val="99"/>
    <w:rPr>
      <w:rFonts w:cs="Times New Roman"/>
      <w:vertAlign w:val="superscript"/>
    </w:rPr>
  </w:style>
  <w:style w:type="character" w:styleId="61">
    <w:name w:val="HTML Keyboard"/>
    <w:basedOn w:val="47"/>
    <w:autoRedefine/>
    <w:qFormat/>
    <w:uiPriority w:val="99"/>
    <w:rPr>
      <w:rFonts w:ascii="monospace" w:hAnsi="monospace" w:cs="monospace"/>
      <w:sz w:val="20"/>
    </w:rPr>
  </w:style>
  <w:style w:type="character" w:styleId="62">
    <w:name w:val="HTML Sample"/>
    <w:basedOn w:val="47"/>
    <w:autoRedefine/>
    <w:qFormat/>
    <w:uiPriority w:val="99"/>
    <w:rPr>
      <w:rFonts w:ascii="monospace" w:hAnsi="monospace" w:cs="monospace"/>
    </w:rPr>
  </w:style>
  <w:style w:type="paragraph" w:customStyle="1" w:styleId="63">
    <w:name w:val="表格文字"/>
    <w:basedOn w:val="20"/>
    <w:autoRedefine/>
    <w:qFormat/>
    <w:uiPriority w:val="0"/>
    <w:pPr>
      <w:spacing w:before="25" w:beforeLines="0" w:after="25" w:afterLines="0" w:line="240" w:lineRule="auto"/>
      <w:ind w:firstLine="0"/>
      <w:jc w:val="left"/>
    </w:pPr>
    <w:rPr>
      <w:bCs/>
      <w:spacing w:val="10"/>
      <w:kern w:val="0"/>
      <w:sz w:val="24"/>
    </w:rPr>
  </w:style>
  <w:style w:type="paragraph" w:customStyle="1" w:styleId="64">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5">
    <w:name w:val="Heading 1 Char"/>
    <w:basedOn w:val="47"/>
    <w:autoRedefine/>
    <w:qFormat/>
    <w:uiPriority w:val="99"/>
    <w:rPr>
      <w:rFonts w:eastAsia="宋体" w:cs="Times New Roman"/>
      <w:b/>
      <w:kern w:val="44"/>
      <w:sz w:val="44"/>
      <w:lang w:val="en-US" w:eastAsia="zh-CN"/>
    </w:rPr>
  </w:style>
  <w:style w:type="character" w:customStyle="1" w:styleId="66">
    <w:name w:val="Heading 2 Char"/>
    <w:basedOn w:val="47"/>
    <w:autoRedefine/>
    <w:qFormat/>
    <w:uiPriority w:val="99"/>
    <w:rPr>
      <w:rFonts w:ascii="Arial" w:hAnsi="Arial" w:eastAsia="黑体" w:cs="Times New Roman"/>
      <w:b/>
      <w:kern w:val="2"/>
      <w:sz w:val="32"/>
      <w:lang w:val="en-US" w:eastAsia="zh-CN"/>
    </w:rPr>
  </w:style>
  <w:style w:type="character" w:customStyle="1" w:styleId="67">
    <w:name w:val="Heading 3 Char"/>
    <w:basedOn w:val="47"/>
    <w:autoRedefine/>
    <w:qFormat/>
    <w:uiPriority w:val="99"/>
    <w:rPr>
      <w:rFonts w:cs="Times New Roman"/>
      <w:b/>
      <w:kern w:val="2"/>
      <w:sz w:val="32"/>
    </w:rPr>
  </w:style>
  <w:style w:type="character" w:customStyle="1" w:styleId="68">
    <w:name w:val="Heading 4 Char"/>
    <w:basedOn w:val="47"/>
    <w:autoRedefine/>
    <w:qFormat/>
    <w:uiPriority w:val="99"/>
    <w:rPr>
      <w:rFonts w:ascii="Arial" w:hAnsi="Arial" w:eastAsia="宋体" w:cs="Times New Roman"/>
      <w:b/>
      <w:kern w:val="2"/>
      <w:sz w:val="28"/>
      <w:lang w:val="en-US" w:eastAsia="zh-CN"/>
    </w:rPr>
  </w:style>
  <w:style w:type="character" w:customStyle="1" w:styleId="69">
    <w:name w:val="Heading 5 Char"/>
    <w:basedOn w:val="47"/>
    <w:autoRedefine/>
    <w:qFormat/>
    <w:uiPriority w:val="99"/>
    <w:rPr>
      <w:rFonts w:eastAsia="宋体" w:cs="Times New Roman"/>
      <w:b/>
      <w:kern w:val="2"/>
      <w:sz w:val="28"/>
      <w:lang w:val="en-US" w:eastAsia="zh-CN"/>
    </w:rPr>
  </w:style>
  <w:style w:type="character" w:customStyle="1" w:styleId="70">
    <w:name w:val="标题 6 Char"/>
    <w:basedOn w:val="47"/>
    <w:link w:val="7"/>
    <w:autoRedefine/>
    <w:qFormat/>
    <w:locked/>
    <w:uiPriority w:val="99"/>
    <w:rPr>
      <w:rFonts w:ascii="Cambria" w:hAnsi="Cambria" w:cs="Times New Roman"/>
      <w:b/>
      <w:sz w:val="24"/>
    </w:rPr>
  </w:style>
  <w:style w:type="character" w:customStyle="1" w:styleId="71">
    <w:name w:val="标题 7 Char"/>
    <w:basedOn w:val="47"/>
    <w:link w:val="8"/>
    <w:autoRedefine/>
    <w:qFormat/>
    <w:locked/>
    <w:uiPriority w:val="99"/>
    <w:rPr>
      <w:rFonts w:cs="Times New Roman"/>
      <w:b/>
      <w:sz w:val="24"/>
    </w:rPr>
  </w:style>
  <w:style w:type="character" w:customStyle="1" w:styleId="72">
    <w:name w:val="标题 8 Char1"/>
    <w:basedOn w:val="47"/>
    <w:link w:val="9"/>
    <w:autoRedefine/>
    <w:semiHidden/>
    <w:qFormat/>
    <w:locked/>
    <w:uiPriority w:val="99"/>
    <w:rPr>
      <w:rFonts w:ascii="等线 Light" w:hAnsi="等线 Light" w:eastAsia="等线 Light" w:cs="Times New Roman"/>
      <w:kern w:val="2"/>
      <w:sz w:val="24"/>
    </w:rPr>
  </w:style>
  <w:style w:type="character" w:customStyle="1" w:styleId="73">
    <w:name w:val="标题 9 Char"/>
    <w:basedOn w:val="47"/>
    <w:link w:val="10"/>
    <w:autoRedefine/>
    <w:qFormat/>
    <w:locked/>
    <w:uiPriority w:val="99"/>
    <w:rPr>
      <w:rFonts w:ascii="Cambria" w:hAnsi="Cambria" w:cs="Times New Roman"/>
      <w:sz w:val="21"/>
    </w:rPr>
  </w:style>
  <w:style w:type="character" w:customStyle="1" w:styleId="74">
    <w:name w:val="Document Map Char"/>
    <w:basedOn w:val="47"/>
    <w:autoRedefine/>
    <w:qFormat/>
    <w:uiPriority w:val="99"/>
    <w:rPr>
      <w:rFonts w:eastAsia="宋体" w:cs="Times New Roman"/>
      <w:kern w:val="2"/>
      <w:sz w:val="24"/>
      <w:lang w:val="en-US" w:eastAsia="zh-CN"/>
    </w:rPr>
  </w:style>
  <w:style w:type="character" w:customStyle="1" w:styleId="75">
    <w:name w:val="Comment Text Char"/>
    <w:basedOn w:val="47"/>
    <w:autoRedefine/>
    <w:qFormat/>
    <w:uiPriority w:val="99"/>
    <w:rPr>
      <w:rFonts w:cs="Times New Roman"/>
      <w:sz w:val="24"/>
    </w:rPr>
  </w:style>
  <w:style w:type="character" w:customStyle="1" w:styleId="76">
    <w:name w:val="正文文本 3 Char"/>
    <w:basedOn w:val="47"/>
    <w:link w:val="18"/>
    <w:autoRedefine/>
    <w:semiHidden/>
    <w:qFormat/>
    <w:locked/>
    <w:uiPriority w:val="99"/>
    <w:rPr>
      <w:rFonts w:cs="Times New Roman"/>
      <w:kern w:val="2"/>
      <w:sz w:val="16"/>
    </w:rPr>
  </w:style>
  <w:style w:type="character" w:customStyle="1" w:styleId="77">
    <w:name w:val="正文文本 Char1"/>
    <w:basedOn w:val="47"/>
    <w:link w:val="19"/>
    <w:autoRedefine/>
    <w:qFormat/>
    <w:locked/>
    <w:uiPriority w:val="99"/>
    <w:rPr>
      <w:rFonts w:ascii="Times New Roman" w:hAnsi="Times New Roman" w:cs="Times New Roman"/>
      <w:kern w:val="2"/>
      <w:sz w:val="24"/>
    </w:rPr>
  </w:style>
  <w:style w:type="character" w:customStyle="1" w:styleId="78">
    <w:name w:val="Body Text Indent Char"/>
    <w:basedOn w:val="47"/>
    <w:autoRedefine/>
    <w:qFormat/>
    <w:uiPriority w:val="99"/>
    <w:rPr>
      <w:rFonts w:ascii="宋体" w:hAnsi="宋体" w:eastAsia="宋体" w:cs="Times New Roman"/>
      <w:kern w:val="2"/>
      <w:sz w:val="21"/>
      <w:lang w:val="en-US" w:eastAsia="zh-CN"/>
    </w:rPr>
  </w:style>
  <w:style w:type="character" w:customStyle="1" w:styleId="79">
    <w:name w:val="Plain Text Char"/>
    <w:basedOn w:val="47"/>
    <w:autoRedefine/>
    <w:qFormat/>
    <w:uiPriority w:val="99"/>
    <w:rPr>
      <w:rFonts w:ascii="宋体" w:hAnsi="Courier New" w:eastAsia="宋体" w:cs="Times New Roman"/>
      <w:sz w:val="24"/>
    </w:rPr>
  </w:style>
  <w:style w:type="character" w:customStyle="1" w:styleId="80">
    <w:name w:val="Date Char"/>
    <w:basedOn w:val="47"/>
    <w:autoRedefine/>
    <w:qFormat/>
    <w:uiPriority w:val="99"/>
    <w:rPr>
      <w:rFonts w:eastAsia="宋体" w:cs="Times New Roman"/>
      <w:kern w:val="2"/>
      <w:sz w:val="24"/>
      <w:lang w:val="en-US" w:eastAsia="zh-CN"/>
    </w:rPr>
  </w:style>
  <w:style w:type="character" w:customStyle="1" w:styleId="81">
    <w:name w:val="Body Text Indent 2 Char"/>
    <w:basedOn w:val="47"/>
    <w:autoRedefine/>
    <w:qFormat/>
    <w:uiPriority w:val="99"/>
    <w:rPr>
      <w:rFonts w:eastAsia="宋体" w:cs="Times New Roman"/>
      <w:kern w:val="2"/>
      <w:sz w:val="24"/>
      <w:lang w:val="en-US" w:eastAsia="zh-CN"/>
    </w:rPr>
  </w:style>
  <w:style w:type="character" w:customStyle="1" w:styleId="82">
    <w:name w:val="Balloon Text Char"/>
    <w:basedOn w:val="47"/>
    <w:autoRedefine/>
    <w:qFormat/>
    <w:uiPriority w:val="99"/>
    <w:rPr>
      <w:rFonts w:cs="Times New Roman"/>
      <w:sz w:val="18"/>
    </w:rPr>
  </w:style>
  <w:style w:type="character" w:customStyle="1" w:styleId="83">
    <w:name w:val="Footer Char"/>
    <w:basedOn w:val="47"/>
    <w:autoRedefine/>
    <w:qFormat/>
    <w:uiPriority w:val="99"/>
    <w:rPr>
      <w:rFonts w:eastAsia="宋体" w:cs="Times New Roman"/>
      <w:kern w:val="2"/>
      <w:sz w:val="18"/>
      <w:lang w:val="en-US" w:eastAsia="zh-CN"/>
    </w:rPr>
  </w:style>
  <w:style w:type="character" w:customStyle="1" w:styleId="84">
    <w:name w:val="Header Char"/>
    <w:basedOn w:val="47"/>
    <w:autoRedefine/>
    <w:qFormat/>
    <w:uiPriority w:val="99"/>
    <w:rPr>
      <w:rFonts w:eastAsia="宋体" w:cs="Times New Roman"/>
      <w:kern w:val="2"/>
      <w:sz w:val="18"/>
      <w:lang w:val="en-US" w:eastAsia="zh-CN"/>
    </w:rPr>
  </w:style>
  <w:style w:type="character" w:customStyle="1" w:styleId="85">
    <w:name w:val="副标题 Char"/>
    <w:basedOn w:val="47"/>
    <w:link w:val="35"/>
    <w:autoRedefine/>
    <w:qFormat/>
    <w:locked/>
    <w:uiPriority w:val="99"/>
    <w:rPr>
      <w:rFonts w:ascii="Cambria" w:hAnsi="Cambria" w:cs="Times New Roman"/>
      <w:b/>
      <w:kern w:val="28"/>
      <w:sz w:val="32"/>
    </w:rPr>
  </w:style>
  <w:style w:type="character" w:customStyle="1" w:styleId="86">
    <w:name w:val="Footnote Text Char"/>
    <w:basedOn w:val="47"/>
    <w:autoRedefine/>
    <w:qFormat/>
    <w:uiPriority w:val="99"/>
    <w:rPr>
      <w:rFonts w:eastAsia="宋体" w:cs="Times New Roman"/>
      <w:sz w:val="18"/>
      <w:lang w:val="en-US" w:eastAsia="zh-CN"/>
    </w:rPr>
  </w:style>
  <w:style w:type="character" w:customStyle="1" w:styleId="87">
    <w:name w:val="HTML 预设格式 Char"/>
    <w:basedOn w:val="47"/>
    <w:link w:val="40"/>
    <w:autoRedefine/>
    <w:qFormat/>
    <w:locked/>
    <w:uiPriority w:val="99"/>
    <w:rPr>
      <w:rFonts w:ascii="宋体" w:eastAsia="宋体" w:cs="Times New Roman"/>
      <w:sz w:val="24"/>
    </w:rPr>
  </w:style>
  <w:style w:type="character" w:customStyle="1" w:styleId="88">
    <w:name w:val="Title Char"/>
    <w:basedOn w:val="47"/>
    <w:autoRedefine/>
    <w:qFormat/>
    <w:uiPriority w:val="99"/>
    <w:rPr>
      <w:rFonts w:ascii="Cambria" w:hAnsi="Cambria" w:cs="Times New Roman"/>
      <w:b/>
      <w:sz w:val="32"/>
    </w:rPr>
  </w:style>
  <w:style w:type="character" w:customStyle="1" w:styleId="89">
    <w:name w:val="Comment Subject Char"/>
    <w:basedOn w:val="75"/>
    <w:autoRedefine/>
    <w:qFormat/>
    <w:uiPriority w:val="99"/>
    <w:rPr>
      <w:rFonts w:cs="Times New Roman"/>
      <w:b/>
      <w:sz w:val="24"/>
    </w:rPr>
  </w:style>
  <w:style w:type="character" w:customStyle="1" w:styleId="90">
    <w:name w:val="标题 1 Char"/>
    <w:link w:val="2"/>
    <w:autoRedefine/>
    <w:qFormat/>
    <w:locked/>
    <w:uiPriority w:val="99"/>
    <w:rPr>
      <w:b/>
      <w:kern w:val="44"/>
      <w:sz w:val="44"/>
    </w:rPr>
  </w:style>
  <w:style w:type="character" w:customStyle="1" w:styleId="91">
    <w:name w:val="标题 2 Char1"/>
    <w:link w:val="3"/>
    <w:autoRedefine/>
    <w:qFormat/>
    <w:locked/>
    <w:uiPriority w:val="99"/>
    <w:rPr>
      <w:rFonts w:ascii="Cambria" w:hAnsi="Cambria" w:eastAsia="宋体"/>
      <w:b/>
      <w:kern w:val="2"/>
      <w:sz w:val="32"/>
    </w:rPr>
  </w:style>
  <w:style w:type="character" w:customStyle="1" w:styleId="92">
    <w:name w:val="标题 3 Char"/>
    <w:link w:val="4"/>
    <w:autoRedefine/>
    <w:qFormat/>
    <w:locked/>
    <w:uiPriority w:val="99"/>
    <w:rPr>
      <w:b/>
      <w:kern w:val="2"/>
      <w:sz w:val="32"/>
    </w:rPr>
  </w:style>
  <w:style w:type="character" w:customStyle="1" w:styleId="93">
    <w:name w:val="标题 4 Char"/>
    <w:link w:val="5"/>
    <w:autoRedefine/>
    <w:qFormat/>
    <w:locked/>
    <w:uiPriority w:val="99"/>
    <w:rPr>
      <w:rFonts w:ascii="Arial" w:hAnsi="Arial"/>
      <w:b/>
      <w:kern w:val="2"/>
      <w:sz w:val="28"/>
    </w:rPr>
  </w:style>
  <w:style w:type="character" w:customStyle="1" w:styleId="94">
    <w:name w:val="标题 5 Char"/>
    <w:link w:val="6"/>
    <w:autoRedefine/>
    <w:qFormat/>
    <w:locked/>
    <w:uiPriority w:val="99"/>
    <w:rPr>
      <w:rFonts w:ascii="Times New Roman" w:hAnsi="Times New Roman"/>
      <w:b/>
      <w:kern w:val="2"/>
      <w:sz w:val="28"/>
    </w:rPr>
  </w:style>
  <w:style w:type="character" w:customStyle="1" w:styleId="95">
    <w:name w:val="正文缩进 Char"/>
    <w:link w:val="13"/>
    <w:autoRedefine/>
    <w:qFormat/>
    <w:locked/>
    <w:uiPriority w:val="99"/>
    <w:rPr>
      <w:kern w:val="2"/>
      <w:sz w:val="21"/>
    </w:rPr>
  </w:style>
  <w:style w:type="character" w:customStyle="1" w:styleId="96">
    <w:name w:val="文档结构图 Char"/>
    <w:link w:val="15"/>
    <w:autoRedefine/>
    <w:qFormat/>
    <w:locked/>
    <w:uiPriority w:val="99"/>
    <w:rPr>
      <w:kern w:val="2"/>
      <w:sz w:val="24"/>
      <w:shd w:val="clear" w:color="auto" w:fill="000080"/>
    </w:rPr>
  </w:style>
  <w:style w:type="character" w:customStyle="1" w:styleId="97">
    <w:name w:val="批注文字 Char1"/>
    <w:link w:val="16"/>
    <w:autoRedefine/>
    <w:qFormat/>
    <w:locked/>
    <w:uiPriority w:val="99"/>
    <w:rPr>
      <w:rFonts w:ascii="Times New Roman" w:hAnsi="Times New Roman"/>
      <w:kern w:val="2"/>
      <w:sz w:val="24"/>
    </w:rPr>
  </w:style>
  <w:style w:type="character" w:customStyle="1" w:styleId="98">
    <w:name w:val="正文文本缩进 Char"/>
    <w:link w:val="20"/>
    <w:autoRedefine/>
    <w:qFormat/>
    <w:locked/>
    <w:uiPriority w:val="99"/>
    <w:rPr>
      <w:rFonts w:ascii="仿宋_GB2312" w:hAnsi="Times New Roman" w:eastAsia="仿宋_GB2312"/>
      <w:sz w:val="20"/>
    </w:rPr>
  </w:style>
  <w:style w:type="character" w:customStyle="1" w:styleId="99">
    <w:name w:val="纯文本 Char1"/>
    <w:link w:val="26"/>
    <w:autoRedefine/>
    <w:qFormat/>
    <w:locked/>
    <w:uiPriority w:val="99"/>
    <w:rPr>
      <w:rFonts w:ascii="宋体" w:hAnsi="Courier New" w:eastAsia="宋体"/>
      <w:sz w:val="21"/>
    </w:rPr>
  </w:style>
  <w:style w:type="character" w:customStyle="1" w:styleId="100">
    <w:name w:val="日期 Char"/>
    <w:link w:val="28"/>
    <w:autoRedefine/>
    <w:qFormat/>
    <w:locked/>
    <w:uiPriority w:val="99"/>
    <w:rPr>
      <w:rFonts w:ascii="Times New Roman" w:hAnsi="Times New Roman"/>
      <w:kern w:val="2"/>
      <w:sz w:val="24"/>
    </w:rPr>
  </w:style>
  <w:style w:type="character" w:customStyle="1" w:styleId="101">
    <w:name w:val="正文文本缩进 2 Char"/>
    <w:link w:val="29"/>
    <w:autoRedefine/>
    <w:qFormat/>
    <w:locked/>
    <w:uiPriority w:val="99"/>
    <w:rPr>
      <w:kern w:val="2"/>
      <w:sz w:val="24"/>
    </w:rPr>
  </w:style>
  <w:style w:type="character" w:customStyle="1" w:styleId="102">
    <w:name w:val="批注框文本 Char"/>
    <w:link w:val="30"/>
    <w:autoRedefine/>
    <w:qFormat/>
    <w:locked/>
    <w:uiPriority w:val="99"/>
    <w:rPr>
      <w:kern w:val="2"/>
      <w:sz w:val="18"/>
    </w:rPr>
  </w:style>
  <w:style w:type="character" w:customStyle="1" w:styleId="103">
    <w:name w:val="页脚 Char"/>
    <w:link w:val="31"/>
    <w:autoRedefine/>
    <w:qFormat/>
    <w:locked/>
    <w:uiPriority w:val="99"/>
    <w:rPr>
      <w:sz w:val="18"/>
    </w:rPr>
  </w:style>
  <w:style w:type="character" w:customStyle="1" w:styleId="104">
    <w:name w:val="页眉 Char"/>
    <w:link w:val="32"/>
    <w:autoRedefine/>
    <w:qFormat/>
    <w:locked/>
    <w:uiPriority w:val="99"/>
    <w:rPr>
      <w:sz w:val="18"/>
    </w:rPr>
  </w:style>
  <w:style w:type="character" w:customStyle="1" w:styleId="105">
    <w:name w:val="脚注文本 Char"/>
    <w:link w:val="36"/>
    <w:autoRedefine/>
    <w:qFormat/>
    <w:locked/>
    <w:uiPriority w:val="99"/>
    <w:rPr>
      <w:sz w:val="18"/>
    </w:rPr>
  </w:style>
  <w:style w:type="character" w:customStyle="1" w:styleId="106">
    <w:name w:val="标题 Char"/>
    <w:link w:val="42"/>
    <w:autoRedefine/>
    <w:qFormat/>
    <w:locked/>
    <w:uiPriority w:val="99"/>
    <w:rPr>
      <w:rFonts w:ascii="Cambria" w:hAnsi="Cambria"/>
      <w:b/>
      <w:kern w:val="2"/>
      <w:sz w:val="32"/>
    </w:rPr>
  </w:style>
  <w:style w:type="character" w:customStyle="1" w:styleId="107">
    <w:name w:val="批注主题 Char"/>
    <w:link w:val="43"/>
    <w:autoRedefine/>
    <w:qFormat/>
    <w:locked/>
    <w:uiPriority w:val="99"/>
    <w:rPr>
      <w:rFonts w:ascii="Times New Roman" w:hAnsi="Times New Roman"/>
      <w:b/>
      <w:kern w:val="2"/>
      <w:sz w:val="24"/>
    </w:rPr>
  </w:style>
  <w:style w:type="character" w:customStyle="1" w:styleId="108">
    <w:name w:val="访问过的超链接1"/>
    <w:autoRedefine/>
    <w:qFormat/>
    <w:uiPriority w:val="99"/>
    <w:rPr>
      <w:color w:val="800080"/>
      <w:u w:val="single"/>
    </w:rPr>
  </w:style>
  <w:style w:type="character" w:customStyle="1" w:styleId="109">
    <w:name w:val="书籍标题1"/>
    <w:autoRedefine/>
    <w:qFormat/>
    <w:uiPriority w:val="99"/>
    <w:rPr>
      <w:b/>
      <w:smallCaps/>
      <w:spacing w:val="5"/>
    </w:rPr>
  </w:style>
  <w:style w:type="character" w:customStyle="1" w:styleId="110">
    <w:name w:val="Body text|5_"/>
    <w:link w:val="111"/>
    <w:autoRedefine/>
    <w:qFormat/>
    <w:locked/>
    <w:uiPriority w:val="99"/>
    <w:rPr>
      <w:rFonts w:ascii="宋体" w:eastAsia="宋体"/>
      <w:sz w:val="52"/>
      <w:lang w:val="zh-CN"/>
    </w:rPr>
  </w:style>
  <w:style w:type="paragraph" w:customStyle="1" w:styleId="111">
    <w:name w:val="Body text|5"/>
    <w:basedOn w:val="1"/>
    <w:link w:val="110"/>
    <w:autoRedefine/>
    <w:qFormat/>
    <w:uiPriority w:val="99"/>
    <w:pPr>
      <w:jc w:val="center"/>
    </w:pPr>
    <w:rPr>
      <w:rFonts w:ascii="宋体"/>
      <w:kern w:val="0"/>
      <w:sz w:val="52"/>
      <w:szCs w:val="20"/>
      <w:lang w:val="zh-CN"/>
    </w:rPr>
  </w:style>
  <w:style w:type="character" w:customStyle="1" w:styleId="112">
    <w:name w:val="Body text|1_"/>
    <w:link w:val="113"/>
    <w:autoRedefine/>
    <w:qFormat/>
    <w:locked/>
    <w:uiPriority w:val="99"/>
    <w:rPr>
      <w:rFonts w:ascii="宋体" w:eastAsia="宋体"/>
      <w:kern w:val="2"/>
      <w:sz w:val="21"/>
      <w:lang w:val="zh-CN"/>
    </w:rPr>
  </w:style>
  <w:style w:type="paragraph" w:customStyle="1" w:styleId="113">
    <w:name w:val="Body text|1"/>
    <w:basedOn w:val="1"/>
    <w:link w:val="112"/>
    <w:autoRedefine/>
    <w:qFormat/>
    <w:uiPriority w:val="99"/>
    <w:pPr>
      <w:spacing w:line="360" w:lineRule="auto"/>
      <w:ind w:firstLine="400"/>
    </w:pPr>
    <w:rPr>
      <w:rFonts w:ascii="宋体"/>
      <w:szCs w:val="20"/>
      <w:lang w:val="zh-CN"/>
    </w:rPr>
  </w:style>
  <w:style w:type="character" w:customStyle="1" w:styleId="114">
    <w:name w:val="Table caption|1_"/>
    <w:link w:val="115"/>
    <w:autoRedefine/>
    <w:qFormat/>
    <w:locked/>
    <w:uiPriority w:val="99"/>
    <w:rPr>
      <w:rFonts w:ascii="宋体" w:eastAsia="宋体"/>
      <w:lang w:val="zh-CN"/>
    </w:rPr>
  </w:style>
  <w:style w:type="paragraph" w:customStyle="1" w:styleId="115">
    <w:name w:val="Table caption|1"/>
    <w:basedOn w:val="1"/>
    <w:link w:val="114"/>
    <w:autoRedefine/>
    <w:qFormat/>
    <w:uiPriority w:val="99"/>
    <w:pPr>
      <w:jc w:val="left"/>
    </w:pPr>
    <w:rPr>
      <w:rFonts w:ascii="宋体"/>
      <w:kern w:val="0"/>
      <w:sz w:val="20"/>
      <w:szCs w:val="20"/>
      <w:lang w:val="zh-CN"/>
    </w:rPr>
  </w:style>
  <w:style w:type="character" w:customStyle="1" w:styleId="116">
    <w:name w:val="Heading #4|1_"/>
    <w:link w:val="117"/>
    <w:autoRedefine/>
    <w:qFormat/>
    <w:locked/>
    <w:uiPriority w:val="99"/>
    <w:rPr>
      <w:rFonts w:ascii="宋体" w:eastAsia="宋体"/>
      <w:lang w:val="zh-CN"/>
    </w:rPr>
  </w:style>
  <w:style w:type="paragraph" w:customStyle="1" w:styleId="117">
    <w:name w:val="Heading #4|1"/>
    <w:basedOn w:val="1"/>
    <w:link w:val="116"/>
    <w:autoRedefine/>
    <w:qFormat/>
    <w:uiPriority w:val="99"/>
    <w:pPr>
      <w:spacing w:after="120"/>
      <w:jc w:val="left"/>
      <w:outlineLvl w:val="3"/>
    </w:pPr>
    <w:rPr>
      <w:rFonts w:ascii="宋体"/>
      <w:kern w:val="0"/>
      <w:sz w:val="20"/>
      <w:szCs w:val="20"/>
      <w:lang w:val="zh-CN"/>
    </w:rPr>
  </w:style>
  <w:style w:type="character" w:customStyle="1" w:styleId="118">
    <w:name w:val="Body text|2_"/>
    <w:link w:val="119"/>
    <w:autoRedefine/>
    <w:qFormat/>
    <w:locked/>
    <w:uiPriority w:val="99"/>
    <w:rPr>
      <w:sz w:val="21"/>
    </w:rPr>
  </w:style>
  <w:style w:type="paragraph" w:customStyle="1" w:styleId="119">
    <w:name w:val="Body text|2"/>
    <w:basedOn w:val="1"/>
    <w:link w:val="118"/>
    <w:autoRedefine/>
    <w:qFormat/>
    <w:uiPriority w:val="99"/>
    <w:pPr>
      <w:spacing w:after="30"/>
      <w:ind w:firstLine="420"/>
      <w:jc w:val="left"/>
    </w:pPr>
    <w:rPr>
      <w:kern w:val="0"/>
      <w:szCs w:val="20"/>
    </w:rPr>
  </w:style>
  <w:style w:type="character" w:customStyle="1" w:styleId="120">
    <w:name w:val="Heading #1|1_"/>
    <w:link w:val="121"/>
    <w:autoRedefine/>
    <w:qFormat/>
    <w:locked/>
    <w:uiPriority w:val="99"/>
    <w:rPr>
      <w:rFonts w:ascii="宋体" w:eastAsia="宋体"/>
      <w:sz w:val="38"/>
      <w:lang w:val="zh-CN"/>
    </w:rPr>
  </w:style>
  <w:style w:type="paragraph" w:customStyle="1" w:styleId="121">
    <w:name w:val="Heading #1|1"/>
    <w:basedOn w:val="1"/>
    <w:link w:val="120"/>
    <w:autoRedefine/>
    <w:qFormat/>
    <w:uiPriority w:val="99"/>
    <w:pPr>
      <w:spacing w:after="440" w:line="564" w:lineRule="exact"/>
      <w:jc w:val="center"/>
      <w:outlineLvl w:val="0"/>
    </w:pPr>
    <w:rPr>
      <w:rFonts w:ascii="宋体"/>
      <w:kern w:val="0"/>
      <w:sz w:val="38"/>
      <w:szCs w:val="20"/>
      <w:lang w:val="zh-CN"/>
    </w:rPr>
  </w:style>
  <w:style w:type="character" w:customStyle="1" w:styleId="122">
    <w:name w:val="Header or footer|2_"/>
    <w:link w:val="123"/>
    <w:autoRedefine/>
    <w:qFormat/>
    <w:locked/>
    <w:uiPriority w:val="99"/>
    <w:rPr>
      <w:lang w:val="zh-CN"/>
    </w:rPr>
  </w:style>
  <w:style w:type="paragraph" w:customStyle="1" w:styleId="123">
    <w:name w:val="Header or footer|2"/>
    <w:basedOn w:val="1"/>
    <w:link w:val="122"/>
    <w:autoRedefine/>
    <w:qFormat/>
    <w:uiPriority w:val="99"/>
    <w:pPr>
      <w:jc w:val="left"/>
    </w:pPr>
    <w:rPr>
      <w:kern w:val="0"/>
      <w:sz w:val="20"/>
      <w:szCs w:val="20"/>
      <w:lang w:val="zh-CN"/>
    </w:rPr>
  </w:style>
  <w:style w:type="character" w:customStyle="1" w:styleId="124">
    <w:name w:val="Body text|3_"/>
    <w:link w:val="125"/>
    <w:autoRedefine/>
    <w:qFormat/>
    <w:locked/>
    <w:uiPriority w:val="99"/>
    <w:rPr>
      <w:rFonts w:ascii="宋体" w:eastAsia="宋体"/>
      <w:lang w:val="zh-CN"/>
    </w:rPr>
  </w:style>
  <w:style w:type="paragraph" w:customStyle="1" w:styleId="125">
    <w:name w:val="Body text|3"/>
    <w:basedOn w:val="1"/>
    <w:link w:val="124"/>
    <w:autoRedefine/>
    <w:qFormat/>
    <w:uiPriority w:val="99"/>
    <w:pPr>
      <w:spacing w:after="340"/>
      <w:jc w:val="left"/>
    </w:pPr>
    <w:rPr>
      <w:rFonts w:ascii="宋体"/>
      <w:kern w:val="0"/>
      <w:sz w:val="20"/>
      <w:szCs w:val="20"/>
      <w:lang w:val="zh-CN"/>
    </w:rPr>
  </w:style>
  <w:style w:type="character" w:customStyle="1" w:styleId="126">
    <w:name w:val="Table of contents|1_"/>
    <w:link w:val="127"/>
    <w:autoRedefine/>
    <w:qFormat/>
    <w:locked/>
    <w:uiPriority w:val="99"/>
    <w:rPr>
      <w:rFonts w:ascii="宋体" w:eastAsia="宋体"/>
      <w:lang w:val="zh-CN"/>
    </w:rPr>
  </w:style>
  <w:style w:type="paragraph" w:customStyle="1" w:styleId="127">
    <w:name w:val="Table of contents|1"/>
    <w:basedOn w:val="1"/>
    <w:link w:val="126"/>
    <w:autoRedefine/>
    <w:qFormat/>
    <w:uiPriority w:val="99"/>
    <w:pPr>
      <w:spacing w:after="100"/>
      <w:ind w:firstLine="600"/>
      <w:jc w:val="left"/>
    </w:pPr>
    <w:rPr>
      <w:rFonts w:ascii="宋体"/>
      <w:kern w:val="0"/>
      <w:sz w:val="20"/>
      <w:szCs w:val="20"/>
      <w:lang w:val="zh-CN"/>
    </w:rPr>
  </w:style>
  <w:style w:type="character" w:customStyle="1" w:styleId="128">
    <w:name w:val="Char Char9"/>
    <w:autoRedefine/>
    <w:qFormat/>
    <w:uiPriority w:val="99"/>
    <w:rPr>
      <w:rFonts w:eastAsia="宋体"/>
      <w:b/>
      <w:kern w:val="44"/>
      <w:sz w:val="44"/>
      <w:lang w:val="en-US" w:eastAsia="zh-CN"/>
    </w:rPr>
  </w:style>
  <w:style w:type="character" w:customStyle="1" w:styleId="129">
    <w:name w:val="明显参考1"/>
    <w:autoRedefine/>
    <w:qFormat/>
    <w:uiPriority w:val="99"/>
    <w:rPr>
      <w:b/>
      <w:smallCaps/>
      <w:color w:val="auto"/>
      <w:spacing w:val="5"/>
      <w:u w:val="single"/>
    </w:rPr>
  </w:style>
  <w:style w:type="character" w:customStyle="1" w:styleId="130">
    <w:name w:val="Char Char23"/>
    <w:autoRedefine/>
    <w:qFormat/>
    <w:uiPriority w:val="99"/>
    <w:rPr>
      <w:rFonts w:eastAsia="宋体"/>
      <w:b/>
      <w:kern w:val="44"/>
      <w:sz w:val="44"/>
      <w:lang w:val="en-US" w:eastAsia="zh-CN"/>
    </w:rPr>
  </w:style>
  <w:style w:type="character" w:customStyle="1" w:styleId="131">
    <w:name w:val="Char Char181"/>
    <w:autoRedefine/>
    <w:qFormat/>
    <w:uiPriority w:val="99"/>
    <w:rPr>
      <w:b/>
      <w:kern w:val="44"/>
      <w:sz w:val="44"/>
    </w:rPr>
  </w:style>
  <w:style w:type="character" w:customStyle="1" w:styleId="132">
    <w:name w:val="Char Char22"/>
    <w:autoRedefine/>
    <w:qFormat/>
    <w:uiPriority w:val="99"/>
    <w:rPr>
      <w:rFonts w:ascii="Times New Roman" w:hAnsi="Times New Roman" w:eastAsia="宋体"/>
      <w:b/>
      <w:kern w:val="44"/>
      <w:sz w:val="44"/>
    </w:rPr>
  </w:style>
  <w:style w:type="character" w:customStyle="1" w:styleId="133">
    <w:name w:val="引用 Char1"/>
    <w:autoRedefine/>
    <w:qFormat/>
    <w:uiPriority w:val="99"/>
    <w:rPr>
      <w:rFonts w:ascii="Times New Roman" w:hAnsi="Times New Roman" w:eastAsia="宋体"/>
      <w:i/>
      <w:color w:val="000000"/>
      <w:sz w:val="24"/>
    </w:rPr>
  </w:style>
  <w:style w:type="character" w:customStyle="1" w:styleId="134">
    <w:name w:val="Heading 3 Char1"/>
    <w:autoRedefine/>
    <w:qFormat/>
    <w:uiPriority w:val="99"/>
    <w:rPr>
      <w:rFonts w:eastAsia="宋体"/>
      <w:b/>
      <w:kern w:val="2"/>
      <w:sz w:val="32"/>
      <w:lang w:val="en-US" w:eastAsia="zh-CN"/>
    </w:rPr>
  </w:style>
  <w:style w:type="character" w:customStyle="1" w:styleId="135">
    <w:name w:val="明显强调1"/>
    <w:autoRedefine/>
    <w:qFormat/>
    <w:uiPriority w:val="99"/>
    <w:rPr>
      <w:b/>
      <w:i/>
      <w:color w:val="4F81BD"/>
    </w:rPr>
  </w:style>
  <w:style w:type="character" w:customStyle="1" w:styleId="136">
    <w:name w:val="明显引用 Char1"/>
    <w:autoRedefine/>
    <w:qFormat/>
    <w:uiPriority w:val="99"/>
    <w:rPr>
      <w:rFonts w:ascii="Times New Roman" w:hAnsi="Times New Roman" w:eastAsia="宋体"/>
      <w:b/>
      <w:i/>
      <w:color w:val="4F81BD"/>
      <w:sz w:val="24"/>
    </w:rPr>
  </w:style>
  <w:style w:type="character" w:customStyle="1" w:styleId="137">
    <w:name w:val="标题 Char2"/>
    <w:autoRedefine/>
    <w:qFormat/>
    <w:uiPriority w:val="99"/>
    <w:rPr>
      <w:rFonts w:ascii="Cambria" w:hAnsi="Cambria" w:eastAsia="宋体"/>
      <w:b/>
      <w:sz w:val="32"/>
    </w:rPr>
  </w:style>
  <w:style w:type="character" w:customStyle="1" w:styleId="138">
    <w:name w:val="标题 Char1"/>
    <w:autoRedefine/>
    <w:qFormat/>
    <w:uiPriority w:val="99"/>
    <w:rPr>
      <w:rFonts w:ascii="Cambria" w:hAnsi="Cambria" w:eastAsia="宋体"/>
      <w:b/>
      <w:sz w:val="32"/>
    </w:rPr>
  </w:style>
  <w:style w:type="character" w:customStyle="1" w:styleId="139">
    <w:name w:val="标题 1 字符1"/>
    <w:autoRedefine/>
    <w:qFormat/>
    <w:uiPriority w:val="99"/>
    <w:rPr>
      <w:b/>
      <w:kern w:val="44"/>
      <w:sz w:val="44"/>
    </w:rPr>
  </w:style>
  <w:style w:type="character" w:customStyle="1" w:styleId="140">
    <w:name w:val="明显引用 Char"/>
    <w:link w:val="141"/>
    <w:autoRedefine/>
    <w:qFormat/>
    <w:locked/>
    <w:uiPriority w:val="99"/>
    <w:rPr>
      <w:b/>
      <w:i/>
      <w:color w:val="4F81BD"/>
    </w:rPr>
  </w:style>
  <w:style w:type="paragraph" w:customStyle="1" w:styleId="141">
    <w:name w:val="明显引用1"/>
    <w:basedOn w:val="1"/>
    <w:next w:val="1"/>
    <w:link w:val="140"/>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2">
    <w:name w:val="textcontents"/>
    <w:autoRedefine/>
    <w:qFormat/>
    <w:uiPriority w:val="99"/>
  </w:style>
  <w:style w:type="character" w:customStyle="1" w:styleId="143">
    <w:name w:val="Char Char19"/>
    <w:autoRedefine/>
    <w:qFormat/>
    <w:uiPriority w:val="99"/>
    <w:rPr>
      <w:rFonts w:ascii="Arial" w:hAnsi="Arial" w:eastAsia="宋体"/>
      <w:b/>
      <w:sz w:val="28"/>
    </w:rPr>
  </w:style>
  <w:style w:type="character" w:customStyle="1" w:styleId="144">
    <w:name w:val="批注文字 Char"/>
    <w:autoRedefine/>
    <w:qFormat/>
    <w:uiPriority w:val="99"/>
    <w:rPr>
      <w:rFonts w:ascii="Times New Roman" w:hAnsi="Times New Roman"/>
      <w:kern w:val="2"/>
      <w:sz w:val="24"/>
    </w:rPr>
  </w:style>
  <w:style w:type="character" w:customStyle="1" w:styleId="145">
    <w:name w:val="标题5 Char Char"/>
    <w:link w:val="146"/>
    <w:autoRedefine/>
    <w:qFormat/>
    <w:locked/>
    <w:uiPriority w:val="99"/>
    <w:rPr>
      <w:rFonts w:ascii="Arial" w:hAnsi="Arial"/>
      <w:b/>
      <w:sz w:val="32"/>
    </w:rPr>
  </w:style>
  <w:style w:type="paragraph" w:customStyle="1" w:styleId="146">
    <w:name w:val="标题5"/>
    <w:basedOn w:val="4"/>
    <w:link w:val="145"/>
    <w:autoRedefine/>
    <w:qFormat/>
    <w:uiPriority w:val="99"/>
    <w:pPr>
      <w:spacing w:line="413" w:lineRule="auto"/>
    </w:pPr>
    <w:rPr>
      <w:rFonts w:ascii="Arial" w:hAnsi="Arial"/>
      <w:bCs/>
      <w:kern w:val="0"/>
    </w:rPr>
  </w:style>
  <w:style w:type="character" w:customStyle="1" w:styleId="147">
    <w:name w:val="纯文本 字符"/>
    <w:autoRedefine/>
    <w:qFormat/>
    <w:uiPriority w:val="99"/>
    <w:rPr>
      <w:rFonts w:ascii="宋体" w:hAnsi="Courier New" w:eastAsia="宋体"/>
      <w:sz w:val="21"/>
    </w:rPr>
  </w:style>
  <w:style w:type="character" w:customStyle="1" w:styleId="148">
    <w:name w:val="引用 Char"/>
    <w:link w:val="149"/>
    <w:autoRedefine/>
    <w:qFormat/>
    <w:locked/>
    <w:uiPriority w:val="99"/>
    <w:rPr>
      <w:i/>
      <w:color w:val="000000"/>
    </w:rPr>
  </w:style>
  <w:style w:type="paragraph" w:customStyle="1" w:styleId="149">
    <w:name w:val="引用1"/>
    <w:basedOn w:val="1"/>
    <w:next w:val="1"/>
    <w:link w:val="148"/>
    <w:autoRedefine/>
    <w:qFormat/>
    <w:uiPriority w:val="99"/>
    <w:rPr>
      <w:i/>
      <w:color w:val="000000"/>
      <w:kern w:val="0"/>
      <w:sz w:val="20"/>
      <w:szCs w:val="20"/>
    </w:rPr>
  </w:style>
  <w:style w:type="character" w:customStyle="1" w:styleId="150">
    <w:name w:val="纯文本 Char"/>
    <w:autoRedefine/>
    <w:qFormat/>
    <w:uiPriority w:val="99"/>
    <w:rPr>
      <w:rFonts w:ascii="宋体" w:hAnsi="Courier New" w:eastAsia="宋体"/>
      <w:sz w:val="21"/>
    </w:rPr>
  </w:style>
  <w:style w:type="character" w:customStyle="1" w:styleId="151">
    <w:name w:val="日期 Char1"/>
    <w:autoRedefine/>
    <w:qFormat/>
    <w:uiPriority w:val="99"/>
    <w:rPr>
      <w:rFonts w:ascii="Times New Roman" w:hAnsi="Times New Roman" w:eastAsia="宋体"/>
      <w:sz w:val="24"/>
    </w:rPr>
  </w:style>
  <w:style w:type="character" w:customStyle="1" w:styleId="152">
    <w:name w:val="纯文本 字符2"/>
    <w:autoRedefine/>
    <w:qFormat/>
    <w:uiPriority w:val="99"/>
    <w:rPr>
      <w:rFonts w:ascii="宋体" w:hAnsi="Courier New" w:eastAsia="宋体"/>
      <w:sz w:val="21"/>
    </w:rPr>
  </w:style>
  <w:style w:type="character" w:customStyle="1" w:styleId="153">
    <w:name w:val="Char Char91"/>
    <w:autoRedefine/>
    <w:qFormat/>
    <w:uiPriority w:val="99"/>
    <w:rPr>
      <w:rFonts w:eastAsia="宋体"/>
      <w:b/>
      <w:kern w:val="44"/>
      <w:sz w:val="44"/>
      <w:lang w:val="en-US" w:eastAsia="zh-CN"/>
    </w:rPr>
  </w:style>
  <w:style w:type="character" w:customStyle="1" w:styleId="154">
    <w:name w:val="批注文字 字符1"/>
    <w:autoRedefine/>
    <w:qFormat/>
    <w:uiPriority w:val="99"/>
    <w:rPr>
      <w:rFonts w:ascii="Times New Roman" w:hAnsi="Times New Roman"/>
      <w:kern w:val="2"/>
      <w:sz w:val="24"/>
    </w:rPr>
  </w:style>
  <w:style w:type="character" w:customStyle="1" w:styleId="155">
    <w:name w:val="Char Char6"/>
    <w:autoRedefine/>
    <w:qFormat/>
    <w:uiPriority w:val="99"/>
    <w:rPr>
      <w:rFonts w:eastAsia="宋体"/>
      <w:b/>
      <w:kern w:val="44"/>
      <w:sz w:val="44"/>
      <w:lang w:val="en-US" w:eastAsia="zh-CN"/>
    </w:rPr>
  </w:style>
  <w:style w:type="character" w:customStyle="1" w:styleId="156">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7">
    <w:name w:val="Comment Text Char1"/>
    <w:autoRedefine/>
    <w:qFormat/>
    <w:uiPriority w:val="99"/>
    <w:rPr>
      <w:sz w:val="24"/>
    </w:rPr>
  </w:style>
  <w:style w:type="character" w:customStyle="1" w:styleId="158">
    <w:name w:val="纯文本 字符1"/>
    <w:autoRedefine/>
    <w:qFormat/>
    <w:uiPriority w:val="99"/>
    <w:rPr>
      <w:rFonts w:ascii="宋体" w:hAnsi="Courier New"/>
    </w:rPr>
  </w:style>
  <w:style w:type="character" w:customStyle="1" w:styleId="159">
    <w:name w:val="正文文本 Char"/>
    <w:autoRedefine/>
    <w:qFormat/>
    <w:uiPriority w:val="99"/>
    <w:rPr>
      <w:rFonts w:ascii="Times New Roman" w:hAnsi="Times New Roman"/>
      <w:kern w:val="2"/>
      <w:sz w:val="24"/>
    </w:rPr>
  </w:style>
  <w:style w:type="character" w:customStyle="1" w:styleId="160">
    <w:name w:val="批注文字 字符"/>
    <w:autoRedefine/>
    <w:qFormat/>
    <w:uiPriority w:val="99"/>
    <w:rPr>
      <w:rFonts w:ascii="Times New Roman" w:hAnsi="Times New Roman"/>
      <w:kern w:val="2"/>
      <w:sz w:val="24"/>
    </w:rPr>
  </w:style>
  <w:style w:type="character" w:customStyle="1" w:styleId="161">
    <w:name w:val="标题 2 Char"/>
    <w:autoRedefine/>
    <w:qFormat/>
    <w:uiPriority w:val="99"/>
    <w:rPr>
      <w:rFonts w:ascii="Cambria" w:hAnsi="Cambria" w:eastAsia="宋体"/>
      <w:b/>
      <w:kern w:val="2"/>
      <w:sz w:val="32"/>
    </w:rPr>
  </w:style>
  <w:style w:type="character" w:customStyle="1" w:styleId="162">
    <w:name w:val="标题 8 Char"/>
    <w:autoRedefine/>
    <w:qFormat/>
    <w:uiPriority w:val="99"/>
    <w:rPr>
      <w:rFonts w:ascii="Arial" w:hAnsi="Arial" w:eastAsia="黑体"/>
      <w:kern w:val="2"/>
      <w:sz w:val="24"/>
    </w:rPr>
  </w:style>
  <w:style w:type="character" w:customStyle="1" w:styleId="163">
    <w:name w:val="apple-style-span"/>
    <w:autoRedefine/>
    <w:qFormat/>
    <w:uiPriority w:val="99"/>
  </w:style>
  <w:style w:type="character" w:customStyle="1" w:styleId="164">
    <w:name w:val="正文文本 字符"/>
    <w:autoRedefine/>
    <w:qFormat/>
    <w:uiPriority w:val="99"/>
    <w:rPr>
      <w:rFonts w:ascii="Times New Roman" w:hAnsi="Times New Roman"/>
      <w:kern w:val="2"/>
      <w:sz w:val="24"/>
    </w:rPr>
  </w:style>
  <w:style w:type="character" w:customStyle="1" w:styleId="165">
    <w:name w:val="批注文字 Char2"/>
    <w:autoRedefine/>
    <w:qFormat/>
    <w:uiPriority w:val="99"/>
    <w:rPr>
      <w:rFonts w:ascii="Times New Roman" w:hAnsi="Times New Roman"/>
      <w:kern w:val="2"/>
      <w:sz w:val="24"/>
    </w:rPr>
  </w:style>
  <w:style w:type="character" w:customStyle="1" w:styleId="166">
    <w:name w:val="正文2 Char Char"/>
    <w:link w:val="167"/>
    <w:autoRedefine/>
    <w:qFormat/>
    <w:locked/>
    <w:uiPriority w:val="99"/>
    <w:rPr>
      <w:kern w:val="2"/>
      <w:sz w:val="24"/>
    </w:rPr>
  </w:style>
  <w:style w:type="paragraph" w:customStyle="1" w:styleId="167">
    <w:name w:val="正文2"/>
    <w:basedOn w:val="1"/>
    <w:link w:val="166"/>
    <w:autoRedefine/>
    <w:qFormat/>
    <w:uiPriority w:val="99"/>
    <w:pPr>
      <w:adjustRightInd w:val="0"/>
      <w:spacing w:before="156" w:line="360" w:lineRule="auto"/>
      <w:ind w:firstLine="510" w:firstLineChars="200"/>
    </w:pPr>
    <w:rPr>
      <w:sz w:val="24"/>
      <w:szCs w:val="20"/>
    </w:rPr>
  </w:style>
  <w:style w:type="character" w:customStyle="1" w:styleId="168">
    <w:name w:val="不明显强调1"/>
    <w:autoRedefine/>
    <w:qFormat/>
    <w:uiPriority w:val="99"/>
    <w:rPr>
      <w:i/>
      <w:color w:val="808080"/>
    </w:rPr>
  </w:style>
  <w:style w:type="character" w:customStyle="1" w:styleId="169">
    <w:name w:val="Body text|6_"/>
    <w:link w:val="170"/>
    <w:autoRedefine/>
    <w:qFormat/>
    <w:locked/>
    <w:uiPriority w:val="99"/>
    <w:rPr>
      <w:rFonts w:ascii="Arial" w:hAnsi="Arial"/>
      <w:lang w:val="zh-CN"/>
    </w:rPr>
  </w:style>
  <w:style w:type="paragraph" w:customStyle="1" w:styleId="170">
    <w:name w:val="Body text|6"/>
    <w:basedOn w:val="1"/>
    <w:link w:val="169"/>
    <w:autoRedefine/>
    <w:qFormat/>
    <w:uiPriority w:val="99"/>
    <w:pPr>
      <w:ind w:hanging="2220"/>
      <w:jc w:val="left"/>
    </w:pPr>
    <w:rPr>
      <w:rFonts w:ascii="Arial" w:hAnsi="Arial"/>
      <w:kern w:val="0"/>
      <w:sz w:val="20"/>
      <w:szCs w:val="20"/>
      <w:lang w:val="zh-CN"/>
    </w:rPr>
  </w:style>
  <w:style w:type="character" w:customStyle="1" w:styleId="171">
    <w:name w:val="批注文字 Char Char"/>
    <w:autoRedefine/>
    <w:qFormat/>
    <w:uiPriority w:val="99"/>
    <w:rPr>
      <w:rFonts w:ascii="宋体" w:hAnsi="Times New Roman" w:eastAsia="宋体"/>
      <w:sz w:val="20"/>
    </w:rPr>
  </w:style>
  <w:style w:type="character" w:customStyle="1" w:styleId="172">
    <w:name w:val="文档结构图 Char1"/>
    <w:autoRedefine/>
    <w:qFormat/>
    <w:uiPriority w:val="99"/>
    <w:rPr>
      <w:rFonts w:ascii="宋体" w:hAnsi="Times New Roman" w:eastAsia="宋体"/>
      <w:sz w:val="18"/>
    </w:rPr>
  </w:style>
  <w:style w:type="character" w:customStyle="1" w:styleId="173">
    <w:name w:val="Char Char21"/>
    <w:autoRedefine/>
    <w:qFormat/>
    <w:uiPriority w:val="99"/>
    <w:rPr>
      <w:rFonts w:ascii="Arial" w:hAnsi="Arial" w:eastAsia="黑体"/>
      <w:b/>
      <w:sz w:val="32"/>
    </w:rPr>
  </w:style>
  <w:style w:type="character" w:customStyle="1" w:styleId="174">
    <w:name w:val="Other|1_"/>
    <w:link w:val="175"/>
    <w:autoRedefine/>
    <w:qFormat/>
    <w:locked/>
    <w:uiPriority w:val="99"/>
    <w:rPr>
      <w:rFonts w:ascii="宋体" w:eastAsia="宋体"/>
      <w:lang w:val="zh-CN"/>
    </w:rPr>
  </w:style>
  <w:style w:type="paragraph" w:customStyle="1" w:styleId="175">
    <w:name w:val="Other|1"/>
    <w:basedOn w:val="1"/>
    <w:link w:val="174"/>
    <w:autoRedefine/>
    <w:qFormat/>
    <w:uiPriority w:val="99"/>
    <w:pPr>
      <w:spacing w:line="360" w:lineRule="auto"/>
      <w:ind w:firstLine="400"/>
      <w:jc w:val="left"/>
    </w:pPr>
    <w:rPr>
      <w:rFonts w:ascii="宋体"/>
      <w:kern w:val="0"/>
      <w:sz w:val="20"/>
      <w:szCs w:val="20"/>
      <w:lang w:val="zh-CN"/>
    </w:rPr>
  </w:style>
  <w:style w:type="character" w:customStyle="1" w:styleId="176">
    <w:name w:val="不明显参考1"/>
    <w:autoRedefine/>
    <w:qFormat/>
    <w:uiPriority w:val="99"/>
    <w:rPr>
      <w:smallCaps/>
      <w:color w:val="auto"/>
      <w:u w:val="single"/>
    </w:rPr>
  </w:style>
  <w:style w:type="character" w:customStyle="1" w:styleId="177">
    <w:name w:val="Body text|7_"/>
    <w:link w:val="178"/>
    <w:autoRedefine/>
    <w:qFormat/>
    <w:locked/>
    <w:uiPriority w:val="99"/>
    <w:rPr>
      <w:rFonts w:ascii="Courier New" w:hAnsi="Courier New"/>
      <w:b/>
      <w:sz w:val="8"/>
      <w:lang w:val="zh-CN"/>
    </w:rPr>
  </w:style>
  <w:style w:type="paragraph" w:customStyle="1" w:styleId="178">
    <w:name w:val="Body text|7"/>
    <w:basedOn w:val="1"/>
    <w:link w:val="177"/>
    <w:autoRedefine/>
    <w:qFormat/>
    <w:uiPriority w:val="99"/>
    <w:pPr>
      <w:ind w:hanging="1760"/>
      <w:jc w:val="left"/>
    </w:pPr>
    <w:rPr>
      <w:rFonts w:ascii="Courier New" w:hAnsi="Courier New"/>
      <w:b/>
      <w:kern w:val="0"/>
      <w:sz w:val="8"/>
      <w:szCs w:val="20"/>
      <w:lang w:val="zh-CN"/>
    </w:rPr>
  </w:style>
  <w:style w:type="character" w:customStyle="1" w:styleId="179">
    <w:name w:val="Char Char20"/>
    <w:autoRedefine/>
    <w:qFormat/>
    <w:uiPriority w:val="99"/>
    <w:rPr>
      <w:rFonts w:ascii="Times New Roman" w:hAnsi="Times New Roman" w:eastAsia="宋体"/>
      <w:b/>
      <w:sz w:val="32"/>
    </w:rPr>
  </w:style>
  <w:style w:type="character" w:customStyle="1" w:styleId="180">
    <w:name w:val="Body text|4_"/>
    <w:link w:val="181"/>
    <w:autoRedefine/>
    <w:qFormat/>
    <w:locked/>
    <w:uiPriority w:val="99"/>
    <w:rPr>
      <w:rFonts w:ascii="宋体" w:eastAsia="宋体"/>
      <w:b/>
      <w:sz w:val="17"/>
      <w:lang w:val="zh-CN"/>
    </w:rPr>
  </w:style>
  <w:style w:type="paragraph" w:customStyle="1" w:styleId="181">
    <w:name w:val="Body text|4"/>
    <w:basedOn w:val="1"/>
    <w:link w:val="180"/>
    <w:autoRedefine/>
    <w:qFormat/>
    <w:uiPriority w:val="99"/>
    <w:pPr>
      <w:spacing w:line="281" w:lineRule="exact"/>
      <w:jc w:val="center"/>
    </w:pPr>
    <w:rPr>
      <w:rFonts w:ascii="宋体"/>
      <w:b/>
      <w:kern w:val="0"/>
      <w:sz w:val="17"/>
      <w:szCs w:val="20"/>
      <w:lang w:val="zh-CN"/>
    </w:rPr>
  </w:style>
  <w:style w:type="character" w:customStyle="1" w:styleId="182">
    <w:name w:val="Heading #2|1_"/>
    <w:link w:val="183"/>
    <w:autoRedefine/>
    <w:qFormat/>
    <w:locked/>
    <w:uiPriority w:val="99"/>
    <w:rPr>
      <w:rFonts w:ascii="宋体" w:eastAsia="宋体"/>
      <w:sz w:val="34"/>
      <w:lang w:val="zh-CN"/>
    </w:rPr>
  </w:style>
  <w:style w:type="paragraph" w:customStyle="1" w:styleId="183">
    <w:name w:val="Heading #2|1"/>
    <w:basedOn w:val="1"/>
    <w:link w:val="182"/>
    <w:autoRedefine/>
    <w:qFormat/>
    <w:uiPriority w:val="99"/>
    <w:pPr>
      <w:spacing w:after="900"/>
      <w:jc w:val="center"/>
      <w:outlineLvl w:val="1"/>
    </w:pPr>
    <w:rPr>
      <w:rFonts w:ascii="宋体"/>
      <w:kern w:val="0"/>
      <w:sz w:val="34"/>
      <w:szCs w:val="20"/>
      <w:lang w:val="zh-CN"/>
    </w:rPr>
  </w:style>
  <w:style w:type="character" w:customStyle="1" w:styleId="184">
    <w:name w:val="批注框文本 Char1"/>
    <w:autoRedefine/>
    <w:qFormat/>
    <w:uiPriority w:val="99"/>
    <w:rPr>
      <w:rFonts w:ascii="Times New Roman" w:hAnsi="Times New Roman" w:eastAsia="宋体"/>
      <w:sz w:val="18"/>
    </w:rPr>
  </w:style>
  <w:style w:type="character" w:customStyle="1" w:styleId="185">
    <w:name w:val="Char Char18"/>
    <w:autoRedefine/>
    <w:qFormat/>
    <w:uiPriority w:val="99"/>
    <w:rPr>
      <w:rFonts w:ascii="Times New Roman" w:hAnsi="Times New Roman" w:eastAsia="宋体"/>
      <w:b/>
      <w:sz w:val="28"/>
    </w:rPr>
  </w:style>
  <w:style w:type="character" w:customStyle="1" w:styleId="186">
    <w:name w:val="批注主题 Char1"/>
    <w:autoRedefine/>
    <w:qFormat/>
    <w:uiPriority w:val="99"/>
    <w:rPr>
      <w:rFonts w:ascii="Times New Roman" w:hAnsi="Times New Roman" w:eastAsia="宋体"/>
      <w:b/>
      <w:sz w:val="24"/>
    </w:rPr>
  </w:style>
  <w:style w:type="character" w:customStyle="1" w:styleId="187">
    <w:name w:val="Char Char24"/>
    <w:autoRedefine/>
    <w:qFormat/>
    <w:uiPriority w:val="99"/>
    <w:rPr>
      <w:rFonts w:eastAsia="宋体"/>
      <w:b/>
      <w:kern w:val="44"/>
      <w:sz w:val="44"/>
      <w:lang w:val="en-US" w:eastAsia="zh-CN"/>
    </w:rPr>
  </w:style>
  <w:style w:type="character" w:customStyle="1" w:styleId="188">
    <w:name w:val="标题4 Char Char"/>
    <w:link w:val="189"/>
    <w:autoRedefine/>
    <w:qFormat/>
    <w:locked/>
    <w:uiPriority w:val="99"/>
    <w:rPr>
      <w:rFonts w:ascii="Arial" w:hAnsi="Arial"/>
      <w:b/>
      <w:sz w:val="32"/>
    </w:rPr>
  </w:style>
  <w:style w:type="paragraph" w:customStyle="1" w:styleId="189">
    <w:name w:val="标题4"/>
    <w:basedOn w:val="3"/>
    <w:next w:val="23"/>
    <w:link w:val="188"/>
    <w:autoRedefine/>
    <w:qFormat/>
    <w:uiPriority w:val="99"/>
    <w:pPr>
      <w:spacing w:before="60" w:after="60" w:line="413" w:lineRule="auto"/>
    </w:pPr>
    <w:rPr>
      <w:rFonts w:ascii="Arial" w:hAnsi="Arial"/>
      <w:bCs/>
      <w:kern w:val="0"/>
    </w:rPr>
  </w:style>
  <w:style w:type="character" w:customStyle="1" w:styleId="190">
    <w:name w:val="Header or footer|1_"/>
    <w:link w:val="191"/>
    <w:autoRedefine/>
    <w:qFormat/>
    <w:locked/>
    <w:uiPriority w:val="99"/>
    <w:rPr>
      <w:sz w:val="17"/>
      <w:lang w:val="zh-CN"/>
    </w:rPr>
  </w:style>
  <w:style w:type="paragraph" w:customStyle="1" w:styleId="191">
    <w:name w:val="Header or footer|1"/>
    <w:basedOn w:val="1"/>
    <w:link w:val="190"/>
    <w:autoRedefine/>
    <w:qFormat/>
    <w:uiPriority w:val="99"/>
    <w:pPr>
      <w:jc w:val="center"/>
    </w:pPr>
    <w:rPr>
      <w:kern w:val="0"/>
      <w:sz w:val="17"/>
      <w:szCs w:val="20"/>
      <w:lang w:val="zh-CN"/>
    </w:rPr>
  </w:style>
  <w:style w:type="character" w:customStyle="1" w:styleId="192">
    <w:name w:val="Heading #3|1_"/>
    <w:link w:val="193"/>
    <w:autoRedefine/>
    <w:qFormat/>
    <w:locked/>
    <w:uiPriority w:val="99"/>
    <w:rPr>
      <w:rFonts w:ascii="宋体" w:eastAsia="宋体"/>
      <w:sz w:val="28"/>
      <w:lang w:val="zh-CN"/>
    </w:rPr>
  </w:style>
  <w:style w:type="paragraph" w:customStyle="1" w:styleId="193">
    <w:name w:val="Heading #3|1"/>
    <w:basedOn w:val="1"/>
    <w:link w:val="192"/>
    <w:autoRedefine/>
    <w:qFormat/>
    <w:uiPriority w:val="99"/>
    <w:pPr>
      <w:spacing w:after="570"/>
      <w:jc w:val="center"/>
      <w:outlineLvl w:val="2"/>
    </w:pPr>
    <w:rPr>
      <w:rFonts w:ascii="宋体"/>
      <w:kern w:val="0"/>
      <w:sz w:val="28"/>
      <w:szCs w:val="20"/>
      <w:lang w:val="zh-CN"/>
    </w:rPr>
  </w:style>
  <w:style w:type="character" w:styleId="194">
    <w:name w:val="Placeholder Text"/>
    <w:basedOn w:val="47"/>
    <w:autoRedefine/>
    <w:qFormat/>
    <w:uiPriority w:val="99"/>
    <w:rPr>
      <w:rFonts w:cs="Times New Roman"/>
      <w:color w:val="808080"/>
    </w:rPr>
  </w:style>
  <w:style w:type="paragraph" w:customStyle="1" w:styleId="195">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6">
    <w:name w:val="List Paragraph"/>
    <w:basedOn w:val="1"/>
    <w:autoRedefine/>
    <w:qFormat/>
    <w:uiPriority w:val="99"/>
    <w:pPr>
      <w:ind w:firstLine="420" w:firstLineChars="200"/>
    </w:pPr>
  </w:style>
  <w:style w:type="paragraph" w:customStyle="1" w:styleId="197">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8">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9">
    <w:name w:val="Char Char Char Char Char Char Char"/>
    <w:basedOn w:val="1"/>
    <w:autoRedefine/>
    <w:qFormat/>
    <w:uiPriority w:val="99"/>
    <w:pPr>
      <w:widowControl/>
      <w:spacing w:after="160" w:line="240" w:lineRule="exact"/>
      <w:jc w:val="left"/>
    </w:pPr>
    <w:rPr>
      <w:szCs w:val="21"/>
    </w:rPr>
  </w:style>
  <w:style w:type="paragraph" w:customStyle="1" w:styleId="200">
    <w:name w:val="Char"/>
    <w:basedOn w:val="1"/>
    <w:autoRedefine/>
    <w:qFormat/>
    <w:uiPriority w:val="99"/>
    <w:pPr>
      <w:widowControl/>
      <w:spacing w:after="160" w:line="240" w:lineRule="exact"/>
      <w:jc w:val="left"/>
    </w:pPr>
    <w:rPr>
      <w:szCs w:val="21"/>
    </w:rPr>
  </w:style>
  <w:style w:type="paragraph" w:customStyle="1" w:styleId="201">
    <w:name w:val="默认段落字体 Para Char Char Char Char Char Char Char Char Char1 Char Char Char Char"/>
    <w:basedOn w:val="1"/>
    <w:autoRedefine/>
    <w:qFormat/>
    <w:uiPriority w:val="99"/>
    <w:rPr>
      <w:rFonts w:ascii="Tahoma" w:hAnsi="Tahoma"/>
      <w:sz w:val="24"/>
      <w:szCs w:val="20"/>
    </w:rPr>
  </w:style>
  <w:style w:type="paragraph" w:customStyle="1" w:styleId="202">
    <w:name w:val="Table Paragraph"/>
    <w:basedOn w:val="1"/>
    <w:autoRedefine/>
    <w:qFormat/>
    <w:uiPriority w:val="99"/>
    <w:pPr>
      <w:jc w:val="left"/>
    </w:pPr>
    <w:rPr>
      <w:rFonts w:ascii="Calibri" w:hAnsi="Calibri"/>
      <w:kern w:val="0"/>
      <w:sz w:val="22"/>
      <w:szCs w:val="22"/>
      <w:lang w:eastAsia="en-US"/>
    </w:rPr>
  </w:style>
  <w:style w:type="paragraph" w:customStyle="1" w:styleId="203">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4">
    <w:name w:val="样式1"/>
    <w:basedOn w:val="1"/>
    <w:next w:val="5"/>
    <w:autoRedefine/>
    <w:qFormat/>
    <w:uiPriority w:val="99"/>
    <w:pPr>
      <w:spacing w:line="360" w:lineRule="auto"/>
      <w:ind w:firstLine="420" w:firstLineChars="200"/>
    </w:pPr>
    <w:rPr>
      <w:rFonts w:ascii="宋体" w:hAnsi="宋体" w:cs="宋体"/>
      <w:szCs w:val="21"/>
    </w:rPr>
  </w:style>
  <w:style w:type="paragraph" w:customStyle="1" w:styleId="205">
    <w:name w:val="列出段落1"/>
    <w:basedOn w:val="1"/>
    <w:autoRedefine/>
    <w:qFormat/>
    <w:uiPriority w:val="99"/>
    <w:pPr>
      <w:ind w:firstLine="420" w:firstLineChars="200"/>
    </w:pPr>
    <w:rPr>
      <w:rFonts w:ascii="Calibri" w:hAnsi="Calibri" w:cs="Calibri"/>
      <w:szCs w:val="21"/>
    </w:rPr>
  </w:style>
  <w:style w:type="paragraph" w:customStyle="1" w:styleId="206">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7">
    <w:name w:val="TOC 标题1"/>
    <w:basedOn w:val="2"/>
    <w:next w:val="1"/>
    <w:autoRedefine/>
    <w:qFormat/>
    <w:uiPriority w:val="99"/>
    <w:pPr>
      <w:spacing w:line="576" w:lineRule="auto"/>
      <w:outlineLvl w:val="9"/>
    </w:pPr>
    <w:rPr>
      <w:rFonts w:ascii="Calibri" w:hAnsi="Calibri" w:eastAsia="黑体" w:cs="Calibri"/>
      <w:lang w:val="zh-CN"/>
    </w:rPr>
  </w:style>
  <w:style w:type="paragraph" w:customStyle="1" w:styleId="208">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09">
    <w:name w:val="p0"/>
    <w:basedOn w:val="1"/>
    <w:autoRedefine/>
    <w:qFormat/>
    <w:uiPriority w:val="99"/>
    <w:pPr>
      <w:widowControl/>
    </w:pPr>
    <w:rPr>
      <w:rFonts w:ascii="Calibri" w:hAnsi="Calibri" w:cs="Calibri"/>
      <w:kern w:val="0"/>
      <w:szCs w:val="21"/>
    </w:rPr>
  </w:style>
  <w:style w:type="paragraph" w:customStyle="1" w:styleId="210">
    <w:name w:val="1"/>
    <w:basedOn w:val="1"/>
    <w:next w:val="1"/>
    <w:autoRedefine/>
    <w:qFormat/>
    <w:uiPriority w:val="99"/>
    <w:rPr>
      <w:szCs w:val="21"/>
    </w:rPr>
  </w:style>
  <w:style w:type="paragraph" w:customStyle="1" w:styleId="211">
    <w:name w:val="列出段落2"/>
    <w:basedOn w:val="1"/>
    <w:autoRedefine/>
    <w:qFormat/>
    <w:uiPriority w:val="99"/>
    <w:pPr>
      <w:ind w:firstLine="420" w:firstLineChars="200"/>
    </w:pPr>
    <w:rPr>
      <w:rFonts w:ascii="Calibri" w:hAnsi="Calibri" w:cs="Calibri"/>
      <w:szCs w:val="21"/>
    </w:rPr>
  </w:style>
  <w:style w:type="paragraph" w:customStyle="1" w:styleId="212">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3">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4">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5">
    <w:name w:val="2-2ji"/>
    <w:basedOn w:val="3"/>
    <w:autoRedefine/>
    <w:qFormat/>
    <w:uiPriority w:val="99"/>
    <w:pPr>
      <w:spacing w:before="0" w:after="0" w:line="360" w:lineRule="auto"/>
      <w:jc w:val="center"/>
    </w:pPr>
    <w:rPr>
      <w:rFonts w:ascii="宋体" w:hAnsi="宋体" w:cs="宋体"/>
      <w:sz w:val="36"/>
      <w:szCs w:val="36"/>
      <w:lang w:val="zh-CN"/>
    </w:rPr>
  </w:style>
  <w:style w:type="paragraph" w:customStyle="1" w:styleId="216">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7">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8">
    <w:name w:val="Char1"/>
    <w:basedOn w:val="1"/>
    <w:autoRedefine/>
    <w:qFormat/>
    <w:uiPriority w:val="99"/>
    <w:pPr>
      <w:widowControl/>
      <w:spacing w:after="160" w:line="240" w:lineRule="exact"/>
      <w:jc w:val="left"/>
    </w:pPr>
    <w:rPr>
      <w:szCs w:val="21"/>
    </w:rPr>
  </w:style>
  <w:style w:type="paragraph" w:customStyle="1" w:styleId="219">
    <w:name w:val="_Style 37"/>
    <w:basedOn w:val="1"/>
    <w:next w:val="1"/>
    <w:autoRedefine/>
    <w:qFormat/>
    <w:uiPriority w:val="99"/>
    <w:rPr>
      <w:szCs w:val="21"/>
    </w:rPr>
  </w:style>
  <w:style w:type="paragraph" w:customStyle="1" w:styleId="220">
    <w:name w:val="样式 标题 3 + (中文) 黑体 小四 非加粗 段前: 7.8 磅 段后: 0 磅 行距: 固定值 20 磅"/>
    <w:basedOn w:val="4"/>
    <w:autoRedefine/>
    <w:qFormat/>
    <w:uiPriority w:val="99"/>
    <w:pPr>
      <w:spacing w:before="0" w:after="0" w:line="400" w:lineRule="exact"/>
    </w:pPr>
    <w:rPr>
      <w:rFonts w:eastAsia="黑体"/>
      <w:b w:val="0"/>
      <w:lang w:val="zh-CN"/>
    </w:rPr>
  </w:style>
  <w:style w:type="paragraph" w:styleId="221">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2">
    <w:name w:val="正正正正"/>
    <w:basedOn w:val="19"/>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3">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4">
    <w:name w:val="bookmark-item"/>
    <w:autoRedefine/>
    <w:qFormat/>
    <w:uiPriority w:val="99"/>
  </w:style>
  <w:style w:type="character" w:customStyle="1" w:styleId="225">
    <w:name w:val="纯文本 Char2"/>
    <w:autoRedefine/>
    <w:qFormat/>
    <w:uiPriority w:val="99"/>
    <w:rPr>
      <w:rFonts w:ascii="宋体" w:hAnsi="Courier New" w:eastAsia="宋体"/>
      <w:sz w:val="21"/>
    </w:rPr>
  </w:style>
  <w:style w:type="character" w:customStyle="1" w:styleId="226">
    <w:name w:val="页脚 Char1"/>
    <w:autoRedefine/>
    <w:qFormat/>
    <w:uiPriority w:val="99"/>
    <w:rPr>
      <w:rFonts w:ascii="Times New Roman" w:hAnsi="Times New Roman" w:eastAsia="宋体"/>
      <w:sz w:val="18"/>
    </w:rPr>
  </w:style>
  <w:style w:type="paragraph" w:customStyle="1" w:styleId="227">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8">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1">
    <w:name w:val="标题 4_1"/>
    <w:basedOn w:val="230"/>
    <w:next w:val="230"/>
    <w:autoRedefine/>
    <w:qFormat/>
    <w:uiPriority w:val="99"/>
    <w:pPr>
      <w:keepNext/>
      <w:keepLines/>
      <w:spacing w:before="280" w:after="290" w:line="372" w:lineRule="auto"/>
      <w:outlineLvl w:val="3"/>
    </w:pPr>
    <w:rPr>
      <w:rFonts w:ascii="Cambria" w:hAnsi="Cambria"/>
      <w:b/>
      <w:bCs/>
      <w:sz w:val="28"/>
      <w:szCs w:val="28"/>
    </w:rPr>
  </w:style>
  <w:style w:type="paragraph" w:customStyle="1" w:styleId="232">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3">
    <w:name w:val="first-child"/>
    <w:basedOn w:val="47"/>
    <w:autoRedefine/>
    <w:qFormat/>
    <w:uiPriority w:val="99"/>
    <w:rPr>
      <w:rFonts w:cs="Times New Roman"/>
    </w:rPr>
  </w:style>
  <w:style w:type="character" w:customStyle="1" w:styleId="234">
    <w:name w:val="NormalCharacter"/>
    <w:autoRedefine/>
    <w:qFormat/>
    <w:uiPriority w:val="99"/>
  </w:style>
  <w:style w:type="character" w:customStyle="1" w:styleId="235">
    <w:name w:val="layui-layer-tabnow"/>
    <w:basedOn w:val="47"/>
    <w:autoRedefine/>
    <w:qFormat/>
    <w:uiPriority w:val="99"/>
    <w:rPr>
      <w:rFonts w:cs="Times New Roman"/>
      <w:bdr w:val="single" w:color="CCCCCC" w:sz="6" w:space="0"/>
      <w:shd w:val="clear" w:color="auto" w:fill="FFFFFF"/>
    </w:rPr>
  </w:style>
  <w:style w:type="paragraph" w:customStyle="1" w:styleId="236">
    <w:name w:val="Normal_0"/>
    <w:autoRedefine/>
    <w:qFormat/>
    <w:uiPriority w:val="99"/>
    <w:rPr>
      <w:rFonts w:ascii="Times New Roman" w:hAnsi="Times New Roman" w:eastAsia="宋体" w:cs="Times New Roman"/>
      <w:sz w:val="24"/>
      <w:szCs w:val="24"/>
      <w:lang w:val="en-US" w:eastAsia="zh-CN" w:bidi="ar-SA"/>
    </w:rPr>
  </w:style>
  <w:style w:type="paragraph" w:customStyle="1" w:styleId="237">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8">
    <w:name w:val="正文3"/>
    <w:autoRedefine/>
    <w:qFormat/>
    <w:uiPriority w:val="99"/>
    <w:rPr>
      <w:rFonts w:ascii="Times New Roman" w:hAnsi="Times New Roman" w:eastAsia="宋体" w:cs="Times New Roman"/>
      <w:sz w:val="24"/>
      <w:szCs w:val="24"/>
      <w:lang w:val="en-US" w:eastAsia="zh-CN" w:bidi="ar-SA"/>
    </w:rPr>
  </w:style>
  <w:style w:type="paragraph" w:customStyle="1" w:styleId="239">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40">
    <w:name w:val="正文首行缩进 2 Char"/>
    <w:basedOn w:val="98"/>
    <w:link w:val="44"/>
    <w:autoRedefine/>
    <w:semiHidden/>
    <w:qFormat/>
    <w:uiPriority w:val="99"/>
    <w:rPr>
      <w:rFonts w:ascii="仿宋_GB2312" w:hAnsi="Times New Roman" w:eastAsia="仿宋_GB2312"/>
      <w:kern w:val="2"/>
      <w:sz w:val="21"/>
      <w:szCs w:val="24"/>
    </w:rPr>
  </w:style>
  <w:style w:type="paragraph" w:customStyle="1" w:styleId="241">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2">
    <w:name w:val="Table Text"/>
    <w:basedOn w:val="1"/>
    <w:autoRedefine/>
    <w:semiHidden/>
    <w:qFormat/>
    <w:uiPriority w:val="0"/>
    <w:rPr>
      <w:rFonts w:ascii="宋体" w:hAnsi="宋体" w:eastAsia="宋体" w:cs="宋体"/>
      <w:sz w:val="20"/>
      <w:szCs w:val="20"/>
      <w:lang w:val="en-US" w:eastAsia="en-US" w:bidi="ar-SA"/>
    </w:rPr>
  </w:style>
  <w:style w:type="table" w:customStyle="1" w:styleId="243">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122</Pages>
  <Words>4032</Words>
  <Characters>4411</Characters>
  <Lines>2041</Lines>
  <Paragraphs>2451</Paragraphs>
  <TotalTime>11</TotalTime>
  <ScaleCrop>false</ScaleCrop>
  <LinksUpToDate>false</LinksUpToDate>
  <CharactersWithSpaces>4503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清风不问烟雨（欣语）</cp:lastModifiedBy>
  <cp:lastPrinted>2020-04-02T08:20:00Z</cp:lastPrinted>
  <dcterms:modified xsi:type="dcterms:W3CDTF">2025-12-26T08:47:48Z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2D5172597B17425AA852931164838D8D</vt:lpwstr>
  </property>
  <property fmtid="{D5CDD505-2E9C-101B-9397-08002B2CF9AE}" pid="4" name="KSOTemplateDocerSaveRecord">
    <vt:lpwstr>eyJoZGlkIjoiNzIwM2FiOTQ3MGE5NDY3ZDQ2YzAzYzNkNTM0MTJjMTgiLCJ1c2VySWQiOiI1MDU5MDU1NTMifQ==</vt:lpwstr>
  </property>
</Properties>
</file>